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0AF39" w14:textId="77777777" w:rsidR="00315F03" w:rsidRDefault="00315F03" w:rsidP="00315F03">
      <w:pPr>
        <w:jc w:val="center"/>
        <w:rPr>
          <w:rFonts w:asciiTheme="majorBidi" w:hAnsiTheme="majorBidi" w:cstheme="majorBidi"/>
          <w:b/>
          <w:bCs/>
          <w:color w:val="1F3864" w:themeColor="accent5" w:themeShade="80"/>
          <w:sz w:val="52"/>
          <w:szCs w:val="52"/>
        </w:rPr>
      </w:pPr>
    </w:p>
    <w:p w14:paraId="49384A90" w14:textId="77777777" w:rsidR="00315F03" w:rsidRDefault="00315F03" w:rsidP="00315F03">
      <w:pPr>
        <w:jc w:val="center"/>
        <w:rPr>
          <w:rFonts w:asciiTheme="majorBidi" w:hAnsiTheme="majorBidi" w:cstheme="majorBidi"/>
          <w:b/>
          <w:bCs/>
          <w:color w:val="1F3864" w:themeColor="accent5" w:themeShade="80"/>
          <w:sz w:val="52"/>
          <w:szCs w:val="52"/>
        </w:rPr>
      </w:pPr>
    </w:p>
    <w:p w14:paraId="576BBAEE" w14:textId="77777777" w:rsidR="00315F03" w:rsidRDefault="00315F03" w:rsidP="00315F03">
      <w:pPr>
        <w:jc w:val="center"/>
        <w:rPr>
          <w:rFonts w:asciiTheme="majorBidi" w:hAnsiTheme="majorBidi" w:cstheme="majorBidi"/>
          <w:b/>
          <w:bCs/>
          <w:color w:val="1F3864" w:themeColor="accent5" w:themeShade="80"/>
          <w:sz w:val="52"/>
          <w:szCs w:val="52"/>
        </w:rPr>
      </w:pPr>
    </w:p>
    <w:p w14:paraId="230624D3" w14:textId="77777777" w:rsidR="00315F03" w:rsidRDefault="00315F03" w:rsidP="00315F03">
      <w:pPr>
        <w:jc w:val="center"/>
        <w:rPr>
          <w:rFonts w:asciiTheme="majorBidi" w:hAnsiTheme="majorBidi" w:cstheme="majorBidi"/>
          <w:b/>
          <w:bCs/>
          <w:color w:val="1F3864" w:themeColor="accent5" w:themeShade="80"/>
          <w:sz w:val="52"/>
          <w:szCs w:val="52"/>
        </w:rPr>
      </w:pPr>
    </w:p>
    <w:p w14:paraId="76BA43BF" w14:textId="77777777" w:rsidR="00315F03" w:rsidRDefault="00315F03" w:rsidP="00315F03">
      <w:pPr>
        <w:jc w:val="center"/>
        <w:rPr>
          <w:rFonts w:asciiTheme="majorBidi" w:hAnsiTheme="majorBidi" w:cstheme="majorBidi"/>
          <w:b/>
          <w:bCs/>
          <w:color w:val="1F3864" w:themeColor="accent5" w:themeShade="80"/>
          <w:sz w:val="52"/>
          <w:szCs w:val="52"/>
        </w:rPr>
      </w:pPr>
    </w:p>
    <w:p w14:paraId="27F34182" w14:textId="1A4EEB41" w:rsidR="00705DF0" w:rsidRPr="00315F03" w:rsidRDefault="00747785" w:rsidP="00315F03">
      <w:pPr>
        <w:jc w:val="center"/>
        <w:rPr>
          <w:rFonts w:asciiTheme="majorBidi" w:hAnsiTheme="majorBidi" w:cstheme="majorBidi"/>
          <w:b/>
          <w:bCs/>
          <w:color w:val="1F3864" w:themeColor="accent5" w:themeShade="80"/>
          <w:sz w:val="52"/>
          <w:szCs w:val="52"/>
        </w:rPr>
      </w:pPr>
      <w:r>
        <w:rPr>
          <w:rFonts w:asciiTheme="majorBidi" w:hAnsiTheme="majorBidi" w:cstheme="majorBidi"/>
          <w:b/>
          <w:bCs/>
          <w:color w:val="1F3864" w:themeColor="accent5" w:themeShade="80"/>
          <w:sz w:val="52"/>
          <w:szCs w:val="52"/>
        </w:rPr>
        <w:t>2026 m</w:t>
      </w:r>
      <w:r w:rsidR="008518A9">
        <w:rPr>
          <w:rFonts w:asciiTheme="majorBidi" w:hAnsiTheme="majorBidi" w:cstheme="majorBidi"/>
          <w:b/>
          <w:bCs/>
          <w:color w:val="1F3864" w:themeColor="accent5" w:themeShade="80"/>
          <w:sz w:val="52"/>
          <w:szCs w:val="52"/>
        </w:rPr>
        <w:t>.</w:t>
      </w:r>
      <w:r>
        <w:rPr>
          <w:rFonts w:asciiTheme="majorBidi" w:hAnsiTheme="majorBidi" w:cstheme="majorBidi"/>
          <w:b/>
          <w:bCs/>
          <w:color w:val="1F3864" w:themeColor="accent5" w:themeShade="80"/>
          <w:sz w:val="52"/>
          <w:szCs w:val="52"/>
        </w:rPr>
        <w:t xml:space="preserve"> I</w:t>
      </w:r>
      <w:r w:rsidR="004E6275">
        <w:rPr>
          <w:rFonts w:asciiTheme="majorBidi" w:hAnsiTheme="majorBidi" w:cstheme="majorBidi"/>
          <w:b/>
          <w:bCs/>
          <w:color w:val="1F3864" w:themeColor="accent5" w:themeShade="80"/>
          <w:sz w:val="52"/>
          <w:szCs w:val="52"/>
        </w:rPr>
        <w:t>I</w:t>
      </w:r>
      <w:r>
        <w:rPr>
          <w:rFonts w:asciiTheme="majorBidi" w:hAnsiTheme="majorBidi" w:cstheme="majorBidi"/>
          <w:b/>
          <w:bCs/>
          <w:color w:val="1F3864" w:themeColor="accent5" w:themeShade="80"/>
          <w:sz w:val="52"/>
          <w:szCs w:val="52"/>
        </w:rPr>
        <w:t xml:space="preserve"> ketvirčio </w:t>
      </w:r>
      <w:r w:rsidR="005E15C8">
        <w:rPr>
          <w:rFonts w:asciiTheme="majorBidi" w:hAnsiTheme="majorBidi" w:cstheme="majorBidi"/>
          <w:b/>
          <w:bCs/>
          <w:color w:val="1F3864" w:themeColor="accent5" w:themeShade="80"/>
          <w:sz w:val="52"/>
          <w:szCs w:val="52"/>
        </w:rPr>
        <w:t xml:space="preserve">Lietuvos Aukščiausiojo </w:t>
      </w:r>
      <w:r w:rsidR="00360920">
        <w:rPr>
          <w:rFonts w:asciiTheme="majorBidi" w:hAnsiTheme="majorBidi" w:cstheme="majorBidi"/>
          <w:b/>
          <w:bCs/>
          <w:color w:val="1F3864" w:themeColor="accent5" w:themeShade="80"/>
          <w:sz w:val="52"/>
          <w:szCs w:val="52"/>
        </w:rPr>
        <w:t xml:space="preserve">Teismo </w:t>
      </w:r>
      <w:r w:rsidR="005E15C8">
        <w:rPr>
          <w:rFonts w:asciiTheme="majorBidi" w:hAnsiTheme="majorBidi" w:cstheme="majorBidi"/>
          <w:b/>
          <w:bCs/>
          <w:color w:val="1F3864" w:themeColor="accent5" w:themeShade="80"/>
          <w:sz w:val="52"/>
          <w:szCs w:val="52"/>
        </w:rPr>
        <w:t xml:space="preserve">ir Lietuvos apeliacinio </w:t>
      </w:r>
      <w:r>
        <w:rPr>
          <w:rFonts w:asciiTheme="majorBidi" w:hAnsiTheme="majorBidi" w:cstheme="majorBidi"/>
          <w:b/>
          <w:bCs/>
          <w:color w:val="1F3864" w:themeColor="accent5" w:themeShade="80"/>
          <w:sz w:val="52"/>
          <w:szCs w:val="52"/>
        </w:rPr>
        <w:t>teism</w:t>
      </w:r>
      <w:r w:rsidR="00360920">
        <w:rPr>
          <w:rFonts w:asciiTheme="majorBidi" w:hAnsiTheme="majorBidi" w:cstheme="majorBidi"/>
          <w:b/>
          <w:bCs/>
          <w:color w:val="1F3864" w:themeColor="accent5" w:themeShade="80"/>
          <w:sz w:val="52"/>
          <w:szCs w:val="52"/>
        </w:rPr>
        <w:t>o</w:t>
      </w:r>
      <w:r w:rsidR="00315F03" w:rsidRPr="00315F03">
        <w:rPr>
          <w:rFonts w:asciiTheme="majorBidi" w:hAnsiTheme="majorBidi" w:cstheme="majorBidi"/>
          <w:b/>
          <w:bCs/>
          <w:color w:val="1F3864" w:themeColor="accent5" w:themeShade="80"/>
          <w:sz w:val="52"/>
          <w:szCs w:val="52"/>
        </w:rPr>
        <w:t xml:space="preserve"> nutarčių </w:t>
      </w:r>
      <w:r w:rsidRPr="00315F03">
        <w:rPr>
          <w:rFonts w:asciiTheme="majorBidi" w:hAnsiTheme="majorBidi" w:cstheme="majorBidi"/>
          <w:b/>
          <w:bCs/>
          <w:color w:val="1F3864" w:themeColor="accent5" w:themeShade="80"/>
          <w:sz w:val="52"/>
          <w:szCs w:val="52"/>
        </w:rPr>
        <w:t xml:space="preserve">apžvalga </w:t>
      </w:r>
      <w:r w:rsidR="00315F03" w:rsidRPr="00315F03">
        <w:rPr>
          <w:rFonts w:asciiTheme="majorBidi" w:hAnsiTheme="majorBidi" w:cstheme="majorBidi"/>
          <w:b/>
          <w:bCs/>
          <w:color w:val="1F3864" w:themeColor="accent5" w:themeShade="80"/>
          <w:sz w:val="52"/>
          <w:szCs w:val="52"/>
        </w:rPr>
        <w:t xml:space="preserve">nemokumo klausimais </w:t>
      </w:r>
    </w:p>
    <w:p w14:paraId="5EBA3A3A" w14:textId="77777777" w:rsidR="00315F03" w:rsidRDefault="00315F03" w:rsidP="00315F03">
      <w:pPr>
        <w:jc w:val="center"/>
        <w:rPr>
          <w:rFonts w:asciiTheme="majorBidi" w:hAnsiTheme="majorBidi" w:cstheme="majorBidi"/>
          <w:b/>
          <w:bCs/>
          <w:color w:val="1F3864" w:themeColor="accent5" w:themeShade="80"/>
          <w:sz w:val="52"/>
          <w:szCs w:val="52"/>
        </w:rPr>
      </w:pPr>
    </w:p>
    <w:p w14:paraId="47CA8557" w14:textId="77777777" w:rsidR="00315F03" w:rsidRDefault="00315F03" w:rsidP="00315F03">
      <w:pPr>
        <w:jc w:val="center"/>
        <w:rPr>
          <w:rFonts w:asciiTheme="majorBidi" w:hAnsiTheme="majorBidi" w:cstheme="majorBidi"/>
          <w:b/>
          <w:bCs/>
          <w:color w:val="1F3864" w:themeColor="accent5" w:themeShade="80"/>
          <w:sz w:val="52"/>
          <w:szCs w:val="52"/>
        </w:rPr>
      </w:pPr>
    </w:p>
    <w:p w14:paraId="6B6488D0" w14:textId="77777777" w:rsidR="00315F03" w:rsidRDefault="00315F03" w:rsidP="00315F03">
      <w:pPr>
        <w:jc w:val="center"/>
        <w:rPr>
          <w:rFonts w:asciiTheme="majorBidi" w:hAnsiTheme="majorBidi" w:cstheme="majorBidi"/>
          <w:b/>
          <w:bCs/>
          <w:color w:val="1F3864" w:themeColor="accent5" w:themeShade="80"/>
          <w:sz w:val="52"/>
          <w:szCs w:val="52"/>
        </w:rPr>
      </w:pPr>
    </w:p>
    <w:p w14:paraId="082E57B7" w14:textId="77777777" w:rsidR="00315F03" w:rsidRDefault="00315F03" w:rsidP="00315F03">
      <w:pPr>
        <w:jc w:val="center"/>
        <w:rPr>
          <w:rFonts w:asciiTheme="majorBidi" w:hAnsiTheme="majorBidi" w:cstheme="majorBidi"/>
          <w:b/>
          <w:bCs/>
          <w:color w:val="1F3864" w:themeColor="accent5" w:themeShade="80"/>
          <w:sz w:val="52"/>
          <w:szCs w:val="52"/>
        </w:rPr>
      </w:pPr>
    </w:p>
    <w:p w14:paraId="77165087" w14:textId="77777777" w:rsidR="00315F03" w:rsidRDefault="00315F03" w:rsidP="00315F03">
      <w:pPr>
        <w:jc w:val="center"/>
        <w:rPr>
          <w:rFonts w:asciiTheme="majorBidi" w:hAnsiTheme="majorBidi" w:cstheme="majorBidi"/>
          <w:b/>
          <w:bCs/>
          <w:color w:val="1F3864" w:themeColor="accent5" w:themeShade="80"/>
          <w:sz w:val="52"/>
          <w:szCs w:val="52"/>
        </w:rPr>
      </w:pPr>
    </w:p>
    <w:p w14:paraId="32C684BA" w14:textId="77777777" w:rsidR="00315F03" w:rsidRDefault="00315F03" w:rsidP="00C347FD">
      <w:pPr>
        <w:rPr>
          <w:rFonts w:asciiTheme="majorBidi" w:hAnsiTheme="majorBidi" w:cstheme="majorBidi"/>
          <w:b/>
          <w:bCs/>
          <w:color w:val="1F3864" w:themeColor="accent5" w:themeShade="80"/>
          <w:sz w:val="52"/>
          <w:szCs w:val="52"/>
        </w:rPr>
      </w:pPr>
    </w:p>
    <w:p w14:paraId="6B6CEF76" w14:textId="2FA90EC5" w:rsidR="0047020B" w:rsidRDefault="00315F03" w:rsidP="00315F03">
      <w:pPr>
        <w:rPr>
          <w:rFonts w:asciiTheme="majorBidi" w:hAnsiTheme="majorBidi" w:cstheme="majorBidi"/>
          <w:color w:val="000000" w:themeColor="text1"/>
          <w:sz w:val="20"/>
          <w:szCs w:val="20"/>
        </w:rPr>
      </w:pPr>
      <w:r w:rsidRPr="00315F03">
        <w:rPr>
          <w:rFonts w:asciiTheme="majorBidi" w:hAnsiTheme="majorBidi" w:cstheme="majorBidi"/>
          <w:color w:val="000000" w:themeColor="text1"/>
          <w:sz w:val="20"/>
          <w:szCs w:val="20"/>
        </w:rPr>
        <w:t>Parengta</w:t>
      </w:r>
    </w:p>
    <w:p w14:paraId="6CD210C6" w14:textId="60A3E85D" w:rsidR="00315F03" w:rsidRDefault="00315F03" w:rsidP="00315F03">
      <w:pPr>
        <w:rPr>
          <w:rFonts w:asciiTheme="majorBidi" w:hAnsiTheme="majorBidi" w:cstheme="majorBidi"/>
          <w:color w:val="000000" w:themeColor="text1"/>
          <w:sz w:val="20"/>
          <w:szCs w:val="20"/>
        </w:rPr>
      </w:pPr>
      <w:r w:rsidRPr="00315F03">
        <w:rPr>
          <w:rFonts w:asciiTheme="majorBidi" w:hAnsiTheme="majorBidi" w:cstheme="majorBidi"/>
          <w:color w:val="000000" w:themeColor="text1"/>
          <w:sz w:val="20"/>
          <w:szCs w:val="20"/>
        </w:rPr>
        <w:t>2026 m. I</w:t>
      </w:r>
      <w:r w:rsidR="004E6275">
        <w:rPr>
          <w:rFonts w:asciiTheme="majorBidi" w:hAnsiTheme="majorBidi" w:cstheme="majorBidi"/>
          <w:color w:val="000000" w:themeColor="text1"/>
          <w:sz w:val="20"/>
          <w:szCs w:val="20"/>
        </w:rPr>
        <w:t>I</w:t>
      </w:r>
      <w:r w:rsidRPr="00315F03">
        <w:rPr>
          <w:rFonts w:asciiTheme="majorBidi" w:hAnsiTheme="majorBidi" w:cstheme="majorBidi"/>
          <w:color w:val="000000" w:themeColor="text1"/>
          <w:sz w:val="20"/>
          <w:szCs w:val="20"/>
        </w:rPr>
        <w:t xml:space="preserve"> ketvirtį</w:t>
      </w:r>
    </w:p>
    <w:p w14:paraId="782D98E4" w14:textId="77777777" w:rsidR="00601B65" w:rsidRPr="00EB5DF6" w:rsidRDefault="00601B65" w:rsidP="00315F03">
      <w:pPr>
        <w:rPr>
          <w:rFonts w:asciiTheme="majorBidi" w:hAnsiTheme="majorBidi" w:cstheme="majorBidi"/>
          <w:color w:val="000000" w:themeColor="text1"/>
          <w:sz w:val="24"/>
          <w:szCs w:val="24"/>
        </w:rPr>
      </w:pPr>
    </w:p>
    <w:p w14:paraId="69C1EE33" w14:textId="03A85C3C" w:rsidR="00601B65" w:rsidRPr="00EB5DF6" w:rsidRDefault="00D95E03" w:rsidP="00315F03">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Vart</w:t>
      </w:r>
      <w:r w:rsidRPr="00EB5DF6">
        <w:rPr>
          <w:rFonts w:asciiTheme="majorBidi" w:hAnsiTheme="majorBidi" w:cstheme="majorBidi"/>
          <w:b/>
          <w:bCs/>
          <w:color w:val="000000" w:themeColor="text1"/>
          <w:sz w:val="24"/>
          <w:szCs w:val="24"/>
        </w:rPr>
        <w:t xml:space="preserve">ojamos </w:t>
      </w:r>
      <w:r w:rsidR="00601B65" w:rsidRPr="00EB5DF6">
        <w:rPr>
          <w:rFonts w:asciiTheme="majorBidi" w:hAnsiTheme="majorBidi" w:cstheme="majorBidi"/>
          <w:b/>
          <w:bCs/>
          <w:color w:val="000000" w:themeColor="text1"/>
          <w:sz w:val="24"/>
          <w:szCs w:val="24"/>
        </w:rPr>
        <w:t>santrumpos</w:t>
      </w:r>
    </w:p>
    <w:tbl>
      <w:tblPr>
        <w:tblStyle w:val="TableGrid"/>
        <w:tblW w:w="0" w:type="auto"/>
        <w:tblCellMar>
          <w:left w:w="0" w:type="dxa"/>
          <w:right w:w="0" w:type="dxa"/>
        </w:tblCellMar>
        <w:tblLook w:val="04A0" w:firstRow="1" w:lastRow="0" w:firstColumn="1" w:lastColumn="0" w:noHBand="0" w:noVBand="1"/>
      </w:tblPr>
      <w:tblGrid>
        <w:gridCol w:w="704"/>
        <w:gridCol w:w="1413"/>
        <w:gridCol w:w="4649"/>
      </w:tblGrid>
      <w:tr w:rsidR="007966C9" w14:paraId="5B3AEEF3" w14:textId="77777777" w:rsidTr="000A2D09">
        <w:trPr>
          <w:trHeight w:val="418"/>
        </w:trPr>
        <w:tc>
          <w:tcPr>
            <w:tcW w:w="704" w:type="dxa"/>
            <w:shd w:val="clear" w:color="auto" w:fill="E7E6E6" w:themeFill="background2"/>
          </w:tcPr>
          <w:p w14:paraId="18B1EA45" w14:textId="5791D548" w:rsidR="007966C9" w:rsidRDefault="007966C9" w:rsidP="00EB5DF6">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Nr.</w:t>
            </w:r>
          </w:p>
        </w:tc>
        <w:tc>
          <w:tcPr>
            <w:tcW w:w="1413" w:type="dxa"/>
            <w:shd w:val="clear" w:color="auto" w:fill="E7E6E6" w:themeFill="background2"/>
          </w:tcPr>
          <w:p w14:paraId="7C7514DB" w14:textId="7AEA1506" w:rsidR="007966C9" w:rsidRDefault="007966C9" w:rsidP="00EB5DF6">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Santrumpa</w:t>
            </w:r>
          </w:p>
        </w:tc>
        <w:tc>
          <w:tcPr>
            <w:tcW w:w="4649" w:type="dxa"/>
            <w:shd w:val="clear" w:color="auto" w:fill="E7E6E6" w:themeFill="background2"/>
          </w:tcPr>
          <w:p w14:paraId="32AE13D0" w14:textId="52773F16" w:rsidR="007966C9" w:rsidRDefault="00EB5DF6" w:rsidP="00EB5DF6">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Reikšmė</w:t>
            </w:r>
          </w:p>
        </w:tc>
      </w:tr>
      <w:tr w:rsidR="007966C9" w14:paraId="1A4C3A35" w14:textId="77777777" w:rsidTr="000A2D09">
        <w:trPr>
          <w:trHeight w:val="418"/>
        </w:trPr>
        <w:tc>
          <w:tcPr>
            <w:tcW w:w="704" w:type="dxa"/>
          </w:tcPr>
          <w:p w14:paraId="7EEDB8B0" w14:textId="73BF7D48" w:rsidR="007966C9" w:rsidRPr="00EB5DF6" w:rsidRDefault="007966C9" w:rsidP="000A2D09">
            <w:pPr>
              <w:pStyle w:val="ListParagraph"/>
              <w:numPr>
                <w:ilvl w:val="0"/>
                <w:numId w:val="7"/>
              </w:numPr>
              <w:rPr>
                <w:rFonts w:asciiTheme="majorBidi" w:hAnsiTheme="majorBidi" w:cstheme="majorBidi"/>
                <w:b/>
                <w:bCs/>
                <w:color w:val="000000" w:themeColor="text1"/>
                <w:sz w:val="20"/>
                <w:szCs w:val="20"/>
              </w:rPr>
            </w:pPr>
          </w:p>
        </w:tc>
        <w:tc>
          <w:tcPr>
            <w:tcW w:w="1413" w:type="dxa"/>
            <w:vAlign w:val="center"/>
          </w:tcPr>
          <w:p w14:paraId="00D34508" w14:textId="1153871D" w:rsidR="007966C9" w:rsidRDefault="00EB5DF6" w:rsidP="00EB5DF6">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Kasacinis teismas</w:t>
            </w:r>
          </w:p>
        </w:tc>
        <w:tc>
          <w:tcPr>
            <w:tcW w:w="4649" w:type="dxa"/>
            <w:vAlign w:val="center"/>
          </w:tcPr>
          <w:p w14:paraId="440BF895" w14:textId="0A747626" w:rsidR="007966C9" w:rsidRPr="00EB5DF6" w:rsidRDefault="00EB5DF6" w:rsidP="00EB5DF6">
            <w:pPr>
              <w:jc w:val="center"/>
              <w:rPr>
                <w:rFonts w:asciiTheme="majorBidi" w:hAnsiTheme="majorBidi" w:cstheme="majorBidi"/>
                <w:color w:val="000000" w:themeColor="text1"/>
                <w:sz w:val="20"/>
                <w:szCs w:val="20"/>
              </w:rPr>
            </w:pPr>
            <w:r w:rsidRPr="00EB5DF6">
              <w:rPr>
                <w:rFonts w:asciiTheme="majorBidi" w:hAnsiTheme="majorBidi" w:cstheme="majorBidi"/>
                <w:color w:val="000000" w:themeColor="text1"/>
                <w:sz w:val="20"/>
                <w:szCs w:val="20"/>
              </w:rPr>
              <w:t>Lietuvos Aukščiausiasis Teismas</w:t>
            </w:r>
          </w:p>
        </w:tc>
      </w:tr>
      <w:tr w:rsidR="00D55D7A" w14:paraId="2BC4B6E3" w14:textId="77777777" w:rsidTr="000A2D09">
        <w:trPr>
          <w:trHeight w:val="418"/>
        </w:trPr>
        <w:tc>
          <w:tcPr>
            <w:tcW w:w="704" w:type="dxa"/>
          </w:tcPr>
          <w:p w14:paraId="3E97638F" w14:textId="77777777" w:rsidR="00D55D7A" w:rsidRPr="00EB5DF6" w:rsidRDefault="00D55D7A" w:rsidP="000A2D09">
            <w:pPr>
              <w:pStyle w:val="ListParagraph"/>
              <w:numPr>
                <w:ilvl w:val="0"/>
                <w:numId w:val="7"/>
              </w:numPr>
              <w:rPr>
                <w:rFonts w:asciiTheme="majorBidi" w:hAnsiTheme="majorBidi" w:cstheme="majorBidi"/>
                <w:b/>
                <w:bCs/>
                <w:color w:val="000000" w:themeColor="text1"/>
                <w:sz w:val="20"/>
                <w:szCs w:val="20"/>
              </w:rPr>
            </w:pPr>
          </w:p>
        </w:tc>
        <w:tc>
          <w:tcPr>
            <w:tcW w:w="1413" w:type="dxa"/>
            <w:vAlign w:val="center"/>
          </w:tcPr>
          <w:p w14:paraId="50D32AA2" w14:textId="3C6E8660" w:rsidR="00D55D7A" w:rsidRDefault="00D55D7A" w:rsidP="00EB5DF6">
            <w:pPr>
              <w:jc w:val="center"/>
              <w:rPr>
                <w:rFonts w:asciiTheme="majorBidi" w:hAnsiTheme="majorBidi" w:cstheme="majorBidi"/>
                <w:b/>
                <w:bCs/>
                <w:color w:val="000000" w:themeColor="text1"/>
                <w:sz w:val="20"/>
                <w:szCs w:val="20"/>
              </w:rPr>
            </w:pPr>
            <w:proofErr w:type="spellStart"/>
            <w:r>
              <w:rPr>
                <w:rFonts w:asciiTheme="majorBidi" w:hAnsiTheme="majorBidi" w:cstheme="majorBidi"/>
                <w:b/>
                <w:bCs/>
                <w:color w:val="000000" w:themeColor="text1"/>
                <w:sz w:val="20"/>
                <w:szCs w:val="20"/>
              </w:rPr>
              <w:t>LAp</w:t>
            </w:r>
            <w:r w:rsidR="005E15C8">
              <w:rPr>
                <w:rFonts w:asciiTheme="majorBidi" w:hAnsiTheme="majorBidi" w:cstheme="majorBidi"/>
                <w:b/>
                <w:bCs/>
                <w:color w:val="000000" w:themeColor="text1"/>
                <w:sz w:val="20"/>
                <w:szCs w:val="20"/>
              </w:rPr>
              <w:t>T</w:t>
            </w:r>
            <w:proofErr w:type="spellEnd"/>
          </w:p>
        </w:tc>
        <w:tc>
          <w:tcPr>
            <w:tcW w:w="4649" w:type="dxa"/>
            <w:vAlign w:val="center"/>
          </w:tcPr>
          <w:p w14:paraId="50175FD8" w14:textId="1844595B" w:rsidR="00D55D7A" w:rsidRPr="00EB5DF6" w:rsidRDefault="00D55D7A" w:rsidP="00EB5DF6">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Lietuvos apeliacinis teismas</w:t>
            </w:r>
          </w:p>
        </w:tc>
      </w:tr>
      <w:tr w:rsidR="004429E2" w14:paraId="533B7C6C" w14:textId="77777777" w:rsidTr="000A2D09">
        <w:trPr>
          <w:trHeight w:val="418"/>
        </w:trPr>
        <w:tc>
          <w:tcPr>
            <w:tcW w:w="704" w:type="dxa"/>
          </w:tcPr>
          <w:p w14:paraId="48B3A9E2" w14:textId="77777777" w:rsidR="004429E2" w:rsidRPr="00EB5DF6" w:rsidRDefault="004429E2" w:rsidP="000A2D09">
            <w:pPr>
              <w:pStyle w:val="ListParagraph"/>
              <w:numPr>
                <w:ilvl w:val="0"/>
                <w:numId w:val="7"/>
              </w:numPr>
              <w:rPr>
                <w:rFonts w:asciiTheme="majorBidi" w:hAnsiTheme="majorBidi" w:cstheme="majorBidi"/>
                <w:b/>
                <w:bCs/>
                <w:color w:val="000000" w:themeColor="text1"/>
                <w:sz w:val="20"/>
                <w:szCs w:val="20"/>
              </w:rPr>
            </w:pPr>
          </w:p>
        </w:tc>
        <w:tc>
          <w:tcPr>
            <w:tcW w:w="1413" w:type="dxa"/>
            <w:vAlign w:val="center"/>
          </w:tcPr>
          <w:p w14:paraId="2F8917EC" w14:textId="0C7188BC" w:rsidR="004429E2" w:rsidRDefault="004429E2" w:rsidP="00EB5DF6">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CK</w:t>
            </w:r>
          </w:p>
        </w:tc>
        <w:tc>
          <w:tcPr>
            <w:tcW w:w="4649" w:type="dxa"/>
            <w:vAlign w:val="center"/>
          </w:tcPr>
          <w:p w14:paraId="396783E3" w14:textId="7E6160F5" w:rsidR="004429E2" w:rsidRPr="00EB5DF6" w:rsidRDefault="00747987" w:rsidP="00747987">
            <w:pPr>
              <w:jc w:val="center"/>
              <w:rPr>
                <w:rFonts w:asciiTheme="majorBidi" w:hAnsiTheme="majorBidi" w:cstheme="majorBidi"/>
                <w:color w:val="000000" w:themeColor="text1"/>
                <w:sz w:val="20"/>
                <w:szCs w:val="20"/>
              </w:rPr>
            </w:pPr>
            <w:r w:rsidRPr="00747987">
              <w:rPr>
                <w:rFonts w:asciiTheme="majorBidi" w:hAnsiTheme="majorBidi" w:cstheme="majorBidi"/>
                <w:color w:val="000000" w:themeColor="text1"/>
                <w:sz w:val="20"/>
                <w:szCs w:val="20"/>
              </w:rPr>
              <w:t>Lietuvos Respublikos civilinis kodeksas</w:t>
            </w:r>
          </w:p>
        </w:tc>
      </w:tr>
      <w:tr w:rsidR="00747987" w14:paraId="76ACB346" w14:textId="77777777" w:rsidTr="000A2D09">
        <w:trPr>
          <w:trHeight w:val="418"/>
        </w:trPr>
        <w:tc>
          <w:tcPr>
            <w:tcW w:w="704" w:type="dxa"/>
          </w:tcPr>
          <w:p w14:paraId="343FB3A9" w14:textId="77777777" w:rsidR="00747987" w:rsidRPr="00EB5DF6" w:rsidRDefault="00747987" w:rsidP="000A2D09">
            <w:pPr>
              <w:pStyle w:val="ListParagraph"/>
              <w:numPr>
                <w:ilvl w:val="0"/>
                <w:numId w:val="7"/>
              </w:numPr>
              <w:rPr>
                <w:rFonts w:asciiTheme="majorBidi" w:hAnsiTheme="majorBidi" w:cstheme="majorBidi"/>
                <w:b/>
                <w:bCs/>
                <w:color w:val="000000" w:themeColor="text1"/>
                <w:sz w:val="20"/>
                <w:szCs w:val="20"/>
              </w:rPr>
            </w:pPr>
          </w:p>
        </w:tc>
        <w:tc>
          <w:tcPr>
            <w:tcW w:w="1413" w:type="dxa"/>
            <w:vAlign w:val="center"/>
          </w:tcPr>
          <w:p w14:paraId="0ADC2DDE" w14:textId="224EC66D" w:rsidR="00747987" w:rsidRDefault="00747987" w:rsidP="00747987">
            <w:pPr>
              <w:jc w:val="center"/>
              <w:rPr>
                <w:rFonts w:asciiTheme="majorBidi" w:hAnsiTheme="majorBidi" w:cstheme="majorBidi"/>
                <w:b/>
                <w:bCs/>
                <w:color w:val="000000" w:themeColor="text1"/>
                <w:sz w:val="20"/>
                <w:szCs w:val="20"/>
              </w:rPr>
            </w:pPr>
            <w:r w:rsidRPr="00747987">
              <w:rPr>
                <w:rFonts w:asciiTheme="majorBidi" w:hAnsiTheme="majorBidi" w:cstheme="majorBidi"/>
                <w:b/>
                <w:bCs/>
                <w:color w:val="000000" w:themeColor="text1"/>
                <w:sz w:val="20"/>
                <w:szCs w:val="20"/>
              </w:rPr>
              <w:t>CPK</w:t>
            </w:r>
          </w:p>
        </w:tc>
        <w:tc>
          <w:tcPr>
            <w:tcW w:w="4649" w:type="dxa"/>
            <w:vAlign w:val="center"/>
          </w:tcPr>
          <w:p w14:paraId="3BD85E76" w14:textId="4536A57F" w:rsidR="00747987" w:rsidRPr="00747987" w:rsidRDefault="00747987" w:rsidP="00747987">
            <w:pPr>
              <w:jc w:val="center"/>
              <w:rPr>
                <w:rFonts w:asciiTheme="majorBidi" w:hAnsiTheme="majorBidi" w:cstheme="majorBidi"/>
                <w:color w:val="000000" w:themeColor="text1"/>
                <w:sz w:val="20"/>
                <w:szCs w:val="20"/>
              </w:rPr>
            </w:pPr>
            <w:r w:rsidRPr="00747987">
              <w:rPr>
                <w:rFonts w:asciiTheme="majorBidi" w:hAnsiTheme="majorBidi" w:cstheme="majorBidi"/>
                <w:color w:val="000000" w:themeColor="text1"/>
                <w:sz w:val="20"/>
                <w:szCs w:val="20"/>
              </w:rPr>
              <w:t>Lietuvos Respublikos civilinio proceso kodeksas</w:t>
            </w:r>
          </w:p>
        </w:tc>
      </w:tr>
      <w:tr w:rsidR="007966C9" w14:paraId="2BBAF021" w14:textId="77777777" w:rsidTr="000A2D09">
        <w:trPr>
          <w:trHeight w:val="418"/>
        </w:trPr>
        <w:tc>
          <w:tcPr>
            <w:tcW w:w="704" w:type="dxa"/>
          </w:tcPr>
          <w:p w14:paraId="7961CC88" w14:textId="5526DD0E" w:rsidR="007966C9" w:rsidRPr="00EB5DF6" w:rsidRDefault="007966C9" w:rsidP="00CA0598">
            <w:pPr>
              <w:pStyle w:val="ListParagraph"/>
              <w:numPr>
                <w:ilvl w:val="0"/>
                <w:numId w:val="7"/>
              </w:numPr>
              <w:jc w:val="center"/>
              <w:rPr>
                <w:rFonts w:asciiTheme="majorBidi" w:hAnsiTheme="majorBidi" w:cstheme="majorBidi"/>
                <w:b/>
                <w:bCs/>
                <w:color w:val="000000" w:themeColor="text1"/>
                <w:sz w:val="20"/>
                <w:szCs w:val="20"/>
              </w:rPr>
            </w:pPr>
          </w:p>
        </w:tc>
        <w:tc>
          <w:tcPr>
            <w:tcW w:w="1413" w:type="dxa"/>
            <w:vAlign w:val="center"/>
          </w:tcPr>
          <w:p w14:paraId="37F06FF9" w14:textId="5C94B8C0" w:rsidR="007966C9" w:rsidRDefault="006B7562" w:rsidP="00CA0598">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JANĮ</w:t>
            </w:r>
          </w:p>
        </w:tc>
        <w:tc>
          <w:tcPr>
            <w:tcW w:w="4649" w:type="dxa"/>
          </w:tcPr>
          <w:p w14:paraId="1E0472F5" w14:textId="2EEC4167" w:rsidR="007966C9" w:rsidRPr="00CA0598" w:rsidRDefault="00CA0598" w:rsidP="00CA0598">
            <w:pPr>
              <w:jc w:val="center"/>
              <w:rPr>
                <w:rFonts w:asciiTheme="majorBidi" w:hAnsiTheme="majorBidi" w:cstheme="majorBidi"/>
                <w:color w:val="000000" w:themeColor="text1"/>
                <w:sz w:val="20"/>
                <w:szCs w:val="20"/>
              </w:rPr>
            </w:pPr>
            <w:r w:rsidRPr="00CA0598">
              <w:rPr>
                <w:rFonts w:asciiTheme="majorBidi" w:hAnsiTheme="majorBidi" w:cstheme="majorBidi"/>
                <w:color w:val="000000" w:themeColor="text1"/>
                <w:sz w:val="20"/>
                <w:szCs w:val="20"/>
              </w:rPr>
              <w:t>Lietuvos Respublikos juridinių asmenų nemokumo įstatymas</w:t>
            </w:r>
          </w:p>
        </w:tc>
      </w:tr>
      <w:tr w:rsidR="00154770" w14:paraId="62639F5D" w14:textId="77777777" w:rsidTr="000A2D09">
        <w:trPr>
          <w:trHeight w:val="418"/>
        </w:trPr>
        <w:tc>
          <w:tcPr>
            <w:tcW w:w="704" w:type="dxa"/>
          </w:tcPr>
          <w:p w14:paraId="1316E4A7" w14:textId="77777777" w:rsidR="00154770" w:rsidRPr="00EB5DF6" w:rsidRDefault="00154770" w:rsidP="00CA0598">
            <w:pPr>
              <w:pStyle w:val="ListParagraph"/>
              <w:numPr>
                <w:ilvl w:val="0"/>
                <w:numId w:val="7"/>
              </w:numPr>
              <w:jc w:val="center"/>
              <w:rPr>
                <w:rFonts w:asciiTheme="majorBidi" w:hAnsiTheme="majorBidi" w:cstheme="majorBidi"/>
                <w:b/>
                <w:bCs/>
                <w:color w:val="000000" w:themeColor="text1"/>
                <w:sz w:val="20"/>
                <w:szCs w:val="20"/>
              </w:rPr>
            </w:pPr>
          </w:p>
        </w:tc>
        <w:tc>
          <w:tcPr>
            <w:tcW w:w="1413" w:type="dxa"/>
            <w:vAlign w:val="center"/>
          </w:tcPr>
          <w:p w14:paraId="704E98DB" w14:textId="136E2751" w:rsidR="00154770" w:rsidRDefault="00154770" w:rsidP="00CA0598">
            <w:pPr>
              <w:jc w:val="cente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AVNT</w:t>
            </w:r>
          </w:p>
        </w:tc>
        <w:tc>
          <w:tcPr>
            <w:tcW w:w="4649" w:type="dxa"/>
          </w:tcPr>
          <w:p w14:paraId="124B009F" w14:textId="743E760C" w:rsidR="00154770" w:rsidRPr="00CA0598" w:rsidRDefault="00154770" w:rsidP="00CA0598">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Audito, apskaitos, turto vertinimo ir nemokumo valdymo tarnyba prie Lietuvos Respublikos finansų ministerijos</w:t>
            </w:r>
          </w:p>
        </w:tc>
      </w:tr>
    </w:tbl>
    <w:p w14:paraId="39BC2EEC" w14:textId="77777777" w:rsidR="00601B65" w:rsidRDefault="00601B65" w:rsidP="00315F03">
      <w:pPr>
        <w:rPr>
          <w:rFonts w:asciiTheme="majorBidi" w:hAnsiTheme="majorBidi" w:cstheme="majorBidi"/>
          <w:b/>
          <w:bCs/>
          <w:color w:val="000000" w:themeColor="text1"/>
          <w:sz w:val="20"/>
          <w:szCs w:val="20"/>
        </w:rPr>
      </w:pPr>
    </w:p>
    <w:p w14:paraId="35E65056" w14:textId="77777777" w:rsidR="00601B65" w:rsidRDefault="00601B65" w:rsidP="00315F03">
      <w:pPr>
        <w:rPr>
          <w:rFonts w:asciiTheme="majorBidi" w:hAnsiTheme="majorBidi" w:cstheme="majorBidi"/>
          <w:b/>
          <w:bCs/>
          <w:color w:val="000000" w:themeColor="text1"/>
          <w:sz w:val="20"/>
          <w:szCs w:val="20"/>
        </w:rPr>
      </w:pPr>
    </w:p>
    <w:p w14:paraId="51146806" w14:textId="77777777" w:rsidR="00601B65" w:rsidRDefault="00601B65" w:rsidP="00315F03">
      <w:pPr>
        <w:rPr>
          <w:rFonts w:asciiTheme="majorBidi" w:hAnsiTheme="majorBidi" w:cstheme="majorBidi"/>
          <w:b/>
          <w:bCs/>
          <w:color w:val="000000" w:themeColor="text1"/>
          <w:sz w:val="20"/>
          <w:szCs w:val="20"/>
        </w:rPr>
      </w:pPr>
    </w:p>
    <w:p w14:paraId="4C00B1FD" w14:textId="77777777" w:rsidR="00601B65" w:rsidRDefault="00601B65" w:rsidP="00315F03">
      <w:pPr>
        <w:rPr>
          <w:rFonts w:asciiTheme="majorBidi" w:hAnsiTheme="majorBidi" w:cstheme="majorBidi"/>
          <w:b/>
          <w:bCs/>
          <w:color w:val="000000" w:themeColor="text1"/>
          <w:sz w:val="20"/>
          <w:szCs w:val="20"/>
        </w:rPr>
      </w:pPr>
    </w:p>
    <w:p w14:paraId="425FF775" w14:textId="77777777" w:rsidR="00601B65" w:rsidRDefault="00601B65" w:rsidP="00315F03">
      <w:pPr>
        <w:rPr>
          <w:rFonts w:asciiTheme="majorBidi" w:hAnsiTheme="majorBidi" w:cstheme="majorBidi"/>
          <w:b/>
          <w:bCs/>
          <w:color w:val="000000" w:themeColor="text1"/>
          <w:sz w:val="20"/>
          <w:szCs w:val="20"/>
        </w:rPr>
      </w:pPr>
    </w:p>
    <w:p w14:paraId="3929B635" w14:textId="77777777" w:rsidR="00601B65" w:rsidRDefault="00601B65" w:rsidP="00315F03">
      <w:pPr>
        <w:rPr>
          <w:rFonts w:asciiTheme="majorBidi" w:hAnsiTheme="majorBidi" w:cstheme="majorBidi"/>
          <w:b/>
          <w:bCs/>
          <w:color w:val="000000" w:themeColor="text1"/>
          <w:sz w:val="20"/>
          <w:szCs w:val="20"/>
        </w:rPr>
      </w:pPr>
    </w:p>
    <w:p w14:paraId="7EF50E5A" w14:textId="77777777" w:rsidR="00601B65" w:rsidRDefault="00601B65" w:rsidP="00315F03">
      <w:pPr>
        <w:rPr>
          <w:rFonts w:asciiTheme="majorBidi" w:hAnsiTheme="majorBidi" w:cstheme="majorBidi"/>
          <w:b/>
          <w:bCs/>
          <w:color w:val="000000" w:themeColor="text1"/>
          <w:sz w:val="20"/>
          <w:szCs w:val="20"/>
        </w:rPr>
      </w:pPr>
    </w:p>
    <w:p w14:paraId="6EB20AC3" w14:textId="77777777" w:rsidR="00601B65" w:rsidRDefault="00601B65" w:rsidP="00315F03">
      <w:pPr>
        <w:rPr>
          <w:rFonts w:asciiTheme="majorBidi" w:hAnsiTheme="majorBidi" w:cstheme="majorBidi"/>
          <w:b/>
          <w:bCs/>
          <w:color w:val="000000" w:themeColor="text1"/>
          <w:sz w:val="20"/>
          <w:szCs w:val="20"/>
        </w:rPr>
      </w:pPr>
    </w:p>
    <w:p w14:paraId="0F7CE15E" w14:textId="77777777" w:rsidR="00601B65" w:rsidRDefault="00601B65" w:rsidP="00315F03">
      <w:pPr>
        <w:rPr>
          <w:rFonts w:asciiTheme="majorBidi" w:hAnsiTheme="majorBidi" w:cstheme="majorBidi"/>
          <w:b/>
          <w:bCs/>
          <w:color w:val="000000" w:themeColor="text1"/>
          <w:sz w:val="20"/>
          <w:szCs w:val="20"/>
        </w:rPr>
      </w:pPr>
    </w:p>
    <w:p w14:paraId="2B3AF321" w14:textId="77777777" w:rsidR="00601B65" w:rsidRDefault="00601B65" w:rsidP="00315F03">
      <w:pPr>
        <w:rPr>
          <w:rFonts w:asciiTheme="majorBidi" w:hAnsiTheme="majorBidi" w:cstheme="majorBidi"/>
          <w:b/>
          <w:bCs/>
          <w:color w:val="000000" w:themeColor="text1"/>
          <w:sz w:val="20"/>
          <w:szCs w:val="20"/>
        </w:rPr>
      </w:pPr>
    </w:p>
    <w:p w14:paraId="57B4895A" w14:textId="77777777" w:rsidR="00601B65" w:rsidRDefault="00601B65" w:rsidP="00315F03">
      <w:pPr>
        <w:rPr>
          <w:rFonts w:asciiTheme="majorBidi" w:hAnsiTheme="majorBidi" w:cstheme="majorBidi"/>
          <w:b/>
          <w:bCs/>
          <w:color w:val="000000" w:themeColor="text1"/>
          <w:sz w:val="20"/>
          <w:szCs w:val="20"/>
        </w:rPr>
      </w:pPr>
    </w:p>
    <w:p w14:paraId="3A6C3C28" w14:textId="77777777" w:rsidR="00601B65" w:rsidRDefault="00601B65" w:rsidP="00315F03">
      <w:pPr>
        <w:rPr>
          <w:rFonts w:asciiTheme="majorBidi" w:hAnsiTheme="majorBidi" w:cstheme="majorBidi"/>
          <w:b/>
          <w:bCs/>
          <w:color w:val="000000" w:themeColor="text1"/>
          <w:sz w:val="20"/>
          <w:szCs w:val="20"/>
        </w:rPr>
      </w:pPr>
    </w:p>
    <w:p w14:paraId="470B908A" w14:textId="77777777" w:rsidR="00601B65" w:rsidRDefault="00601B65" w:rsidP="00315F03">
      <w:pPr>
        <w:rPr>
          <w:rFonts w:asciiTheme="majorBidi" w:hAnsiTheme="majorBidi" w:cstheme="majorBidi"/>
          <w:b/>
          <w:bCs/>
          <w:color w:val="000000" w:themeColor="text1"/>
          <w:sz w:val="20"/>
          <w:szCs w:val="20"/>
        </w:rPr>
      </w:pPr>
    </w:p>
    <w:p w14:paraId="314CE2F3" w14:textId="77777777" w:rsidR="00601B65" w:rsidRDefault="00601B65" w:rsidP="00315F03">
      <w:pPr>
        <w:rPr>
          <w:rFonts w:asciiTheme="majorBidi" w:hAnsiTheme="majorBidi" w:cstheme="majorBidi"/>
          <w:b/>
          <w:bCs/>
          <w:color w:val="000000" w:themeColor="text1"/>
          <w:sz w:val="20"/>
          <w:szCs w:val="20"/>
        </w:rPr>
      </w:pPr>
    </w:p>
    <w:p w14:paraId="6140E256" w14:textId="77777777" w:rsidR="00601B65" w:rsidRDefault="00601B65" w:rsidP="00315F03">
      <w:pPr>
        <w:rPr>
          <w:rFonts w:asciiTheme="majorBidi" w:hAnsiTheme="majorBidi" w:cstheme="majorBidi"/>
          <w:b/>
          <w:bCs/>
          <w:color w:val="000000" w:themeColor="text1"/>
          <w:sz w:val="20"/>
          <w:szCs w:val="20"/>
        </w:rPr>
      </w:pPr>
    </w:p>
    <w:p w14:paraId="2AA9DF9B" w14:textId="77777777" w:rsidR="00601B65" w:rsidRDefault="00601B65" w:rsidP="00315F03">
      <w:pPr>
        <w:rPr>
          <w:rFonts w:asciiTheme="majorBidi" w:hAnsiTheme="majorBidi" w:cstheme="majorBidi"/>
          <w:b/>
          <w:bCs/>
          <w:color w:val="000000" w:themeColor="text1"/>
          <w:sz w:val="20"/>
          <w:szCs w:val="20"/>
        </w:rPr>
      </w:pPr>
    </w:p>
    <w:p w14:paraId="1B76A67F" w14:textId="77777777" w:rsidR="00601B65" w:rsidRDefault="00601B65" w:rsidP="00315F03">
      <w:pPr>
        <w:rPr>
          <w:rFonts w:asciiTheme="majorBidi" w:hAnsiTheme="majorBidi" w:cstheme="majorBidi"/>
          <w:b/>
          <w:bCs/>
          <w:color w:val="000000" w:themeColor="text1"/>
          <w:sz w:val="20"/>
          <w:szCs w:val="20"/>
        </w:rPr>
      </w:pPr>
    </w:p>
    <w:p w14:paraId="31DDF2C6" w14:textId="77777777" w:rsidR="00601B65" w:rsidRDefault="00601B65" w:rsidP="00315F03">
      <w:pPr>
        <w:rPr>
          <w:rFonts w:asciiTheme="majorBidi" w:hAnsiTheme="majorBidi" w:cstheme="majorBidi"/>
          <w:b/>
          <w:bCs/>
          <w:color w:val="000000" w:themeColor="text1"/>
          <w:sz w:val="20"/>
          <w:szCs w:val="20"/>
        </w:rPr>
      </w:pPr>
    </w:p>
    <w:p w14:paraId="566516FC" w14:textId="77777777" w:rsidR="00601B65" w:rsidRDefault="00601B65" w:rsidP="00315F03">
      <w:pPr>
        <w:rPr>
          <w:rFonts w:asciiTheme="majorBidi" w:hAnsiTheme="majorBidi" w:cstheme="majorBidi"/>
          <w:b/>
          <w:bCs/>
          <w:color w:val="000000" w:themeColor="text1"/>
          <w:sz w:val="20"/>
          <w:szCs w:val="20"/>
        </w:rPr>
      </w:pPr>
    </w:p>
    <w:p w14:paraId="614EEC4A" w14:textId="77777777" w:rsidR="00601B65" w:rsidRDefault="00601B65" w:rsidP="00315F03">
      <w:pPr>
        <w:rPr>
          <w:rFonts w:asciiTheme="majorBidi" w:hAnsiTheme="majorBidi" w:cstheme="majorBidi"/>
          <w:b/>
          <w:bCs/>
          <w:color w:val="000000" w:themeColor="text1"/>
          <w:sz w:val="20"/>
          <w:szCs w:val="20"/>
        </w:rPr>
      </w:pPr>
    </w:p>
    <w:p w14:paraId="41F86C7F" w14:textId="77777777" w:rsidR="00601B65" w:rsidRDefault="00601B65" w:rsidP="00315F03">
      <w:pPr>
        <w:rPr>
          <w:rFonts w:asciiTheme="majorBidi" w:hAnsiTheme="majorBidi" w:cstheme="majorBidi"/>
          <w:b/>
          <w:bCs/>
          <w:color w:val="000000" w:themeColor="text1"/>
          <w:sz w:val="20"/>
          <w:szCs w:val="20"/>
        </w:rPr>
      </w:pPr>
    </w:p>
    <w:p w14:paraId="79630C93" w14:textId="77777777" w:rsidR="00601B65" w:rsidRDefault="00601B65" w:rsidP="00315F03">
      <w:pPr>
        <w:rPr>
          <w:rFonts w:asciiTheme="majorBidi" w:hAnsiTheme="majorBidi" w:cstheme="majorBidi"/>
          <w:b/>
          <w:bCs/>
          <w:color w:val="000000" w:themeColor="text1"/>
          <w:sz w:val="20"/>
          <w:szCs w:val="20"/>
        </w:rPr>
      </w:pPr>
    </w:p>
    <w:p w14:paraId="0BFE0944" w14:textId="77777777" w:rsidR="00601B65" w:rsidRDefault="00601B65" w:rsidP="00315F03">
      <w:pPr>
        <w:rPr>
          <w:rFonts w:asciiTheme="majorBidi" w:hAnsiTheme="majorBidi" w:cstheme="majorBidi"/>
          <w:b/>
          <w:bCs/>
          <w:color w:val="000000" w:themeColor="text1"/>
          <w:sz w:val="20"/>
          <w:szCs w:val="20"/>
        </w:rPr>
      </w:pPr>
    </w:p>
    <w:p w14:paraId="0836A5CA" w14:textId="77777777" w:rsidR="00601B65" w:rsidRDefault="00601B65" w:rsidP="00315F03">
      <w:pPr>
        <w:rPr>
          <w:rFonts w:asciiTheme="majorBidi" w:hAnsiTheme="majorBidi" w:cstheme="majorBidi"/>
          <w:b/>
          <w:bCs/>
          <w:color w:val="000000" w:themeColor="text1"/>
          <w:sz w:val="20"/>
          <w:szCs w:val="20"/>
        </w:rPr>
      </w:pPr>
    </w:p>
    <w:p w14:paraId="3B79E278" w14:textId="77777777" w:rsidR="00601B65" w:rsidRDefault="00601B65" w:rsidP="00315F03">
      <w:pPr>
        <w:rPr>
          <w:rFonts w:asciiTheme="majorBidi" w:hAnsiTheme="majorBidi" w:cstheme="majorBidi"/>
          <w:b/>
          <w:bCs/>
          <w:color w:val="000000" w:themeColor="text1"/>
          <w:sz w:val="20"/>
          <w:szCs w:val="20"/>
        </w:rPr>
      </w:pPr>
    </w:p>
    <w:sdt>
      <w:sdtPr>
        <w:rPr>
          <w:rFonts w:asciiTheme="minorHAnsi" w:eastAsiaTheme="minorHAnsi" w:hAnsiTheme="minorHAnsi" w:cstheme="minorBidi"/>
          <w:color w:val="auto"/>
          <w:sz w:val="22"/>
          <w:szCs w:val="22"/>
          <w:lang w:eastAsia="en-US"/>
        </w:rPr>
        <w:id w:val="603621139"/>
        <w:docPartObj>
          <w:docPartGallery w:val="Table of Contents"/>
          <w:docPartUnique/>
        </w:docPartObj>
      </w:sdtPr>
      <w:sdtEndPr>
        <w:rPr>
          <w:b/>
          <w:bCs/>
          <w:noProof/>
        </w:rPr>
      </w:sdtEndPr>
      <w:sdtContent>
        <w:p w14:paraId="34FEE67E" w14:textId="545D93ED" w:rsidR="003E6555" w:rsidRDefault="003C3627">
          <w:pPr>
            <w:pStyle w:val="TOCHeading"/>
            <w:rPr>
              <w:rFonts w:asciiTheme="majorBidi" w:hAnsiTheme="majorBidi"/>
              <w:sz w:val="28"/>
              <w:szCs w:val="28"/>
            </w:rPr>
          </w:pPr>
          <w:r w:rsidRPr="003C3627">
            <w:rPr>
              <w:rFonts w:asciiTheme="majorBidi" w:hAnsiTheme="majorBidi"/>
              <w:sz w:val="28"/>
              <w:szCs w:val="28"/>
            </w:rPr>
            <w:t>Turinys</w:t>
          </w:r>
        </w:p>
        <w:p w14:paraId="2C2DBEBA" w14:textId="77777777" w:rsidR="003C3627" w:rsidRPr="003C3627" w:rsidRDefault="003C3627" w:rsidP="003C3627">
          <w:pPr>
            <w:rPr>
              <w:lang w:eastAsia="lt-LT"/>
            </w:rPr>
          </w:pPr>
        </w:p>
        <w:p w14:paraId="4E46D04E" w14:textId="300ADFDF" w:rsidR="003E6555" w:rsidRPr="003C3627" w:rsidRDefault="003E6555">
          <w:pPr>
            <w:pStyle w:val="TOC1"/>
            <w:tabs>
              <w:tab w:val="left" w:pos="480"/>
              <w:tab w:val="right" w:leader="dot" w:pos="9016"/>
            </w:tabs>
            <w:rPr>
              <w:rFonts w:asciiTheme="majorBidi" w:eastAsiaTheme="minorEastAsia" w:hAnsiTheme="majorBidi" w:cstheme="majorBidi"/>
              <w:noProof/>
              <w:kern w:val="2"/>
              <w:sz w:val="24"/>
              <w:szCs w:val="24"/>
              <w:lang w:val="en-US"/>
              <w14:ligatures w14:val="standardContextual"/>
            </w:rPr>
          </w:pPr>
          <w:r w:rsidRPr="003C3627">
            <w:rPr>
              <w:rFonts w:asciiTheme="majorBidi" w:hAnsiTheme="majorBidi" w:cstheme="majorBidi"/>
              <w:sz w:val="24"/>
              <w:szCs w:val="24"/>
            </w:rPr>
            <w:fldChar w:fldCharType="begin"/>
          </w:r>
          <w:r w:rsidRPr="003C3627">
            <w:rPr>
              <w:rFonts w:asciiTheme="majorBidi" w:hAnsiTheme="majorBidi" w:cstheme="majorBidi"/>
              <w:sz w:val="24"/>
              <w:szCs w:val="24"/>
            </w:rPr>
            <w:instrText xml:space="preserve"> TOC \o "1-3" \h \z \u </w:instrText>
          </w:r>
          <w:r w:rsidRPr="003C3627">
            <w:rPr>
              <w:rFonts w:asciiTheme="majorBidi" w:hAnsiTheme="majorBidi" w:cstheme="majorBidi"/>
              <w:sz w:val="24"/>
              <w:szCs w:val="24"/>
            </w:rPr>
            <w:fldChar w:fldCharType="separate"/>
          </w:r>
          <w:hyperlink w:anchor="_Toc233882976" w:history="1">
            <w:r w:rsidRPr="003C3627">
              <w:rPr>
                <w:rStyle w:val="Hyperlink"/>
                <w:rFonts w:asciiTheme="majorBidi" w:hAnsiTheme="majorBidi" w:cstheme="majorBidi"/>
                <w:noProof/>
                <w:sz w:val="24"/>
                <w:szCs w:val="24"/>
              </w:rPr>
              <w:t>I.</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LAT nutarčių juridinių asmenų bankroto klausimais apžvalga</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_Toc233882976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4</w:t>
            </w:r>
            <w:r w:rsidRPr="003C3627">
              <w:rPr>
                <w:rFonts w:asciiTheme="majorBidi" w:hAnsiTheme="majorBidi" w:cstheme="majorBidi"/>
                <w:noProof/>
                <w:webHidden/>
                <w:sz w:val="24"/>
                <w:szCs w:val="24"/>
              </w:rPr>
              <w:fldChar w:fldCharType="end"/>
            </w:r>
          </w:hyperlink>
        </w:p>
        <w:p w14:paraId="0DB22AE3" w14:textId="76B984F6"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77" w:history="1">
            <w:r w:rsidRPr="003C3627">
              <w:rPr>
                <w:rStyle w:val="Hyperlink"/>
                <w:rFonts w:asciiTheme="majorBidi" w:hAnsiTheme="majorBidi" w:cstheme="majorBidi"/>
                <w:noProof/>
                <w:sz w:val="24"/>
                <w:szCs w:val="24"/>
              </w:rPr>
              <w:t>1.</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pirmosios instancijos teismo nutarties, kuria patenkintas nemokumo administratoriaus prašymas jį atstatydinti, apskundimo ir bankroto bylos nutraukimo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_Toc233882977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4</w:t>
            </w:r>
            <w:r w:rsidRPr="003C3627">
              <w:rPr>
                <w:rFonts w:asciiTheme="majorBidi" w:hAnsiTheme="majorBidi" w:cstheme="majorBidi"/>
                <w:noProof/>
                <w:webHidden/>
                <w:sz w:val="24"/>
                <w:szCs w:val="24"/>
              </w:rPr>
              <w:fldChar w:fldCharType="end"/>
            </w:r>
          </w:hyperlink>
        </w:p>
        <w:p w14:paraId="0724052F" w14:textId="0E13753D"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78" w:history="1">
            <w:r w:rsidRPr="003C3627">
              <w:rPr>
                <w:rStyle w:val="Hyperlink"/>
                <w:rFonts w:asciiTheme="majorBidi" w:hAnsiTheme="majorBidi" w:cstheme="majorBidi"/>
                <w:noProof/>
                <w:sz w:val="24"/>
                <w:szCs w:val="24"/>
              </w:rPr>
              <w:t>2.</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kreditorių reikalavimų pobūdžio, jų teikimo tvarkos skolininkui iškėlus nemokumo bylą</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_Toc233882978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5</w:t>
            </w:r>
            <w:r w:rsidRPr="003C3627">
              <w:rPr>
                <w:rFonts w:asciiTheme="majorBidi" w:hAnsiTheme="majorBidi" w:cstheme="majorBidi"/>
                <w:noProof/>
                <w:webHidden/>
                <w:sz w:val="24"/>
                <w:szCs w:val="24"/>
              </w:rPr>
              <w:fldChar w:fldCharType="end"/>
            </w:r>
          </w:hyperlink>
        </w:p>
        <w:p w14:paraId="0BE790D4" w14:textId="674CC3E0"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79" w:history="1">
            <w:r w:rsidRPr="003C3627">
              <w:rPr>
                <w:rStyle w:val="Hyperlink"/>
                <w:rFonts w:asciiTheme="majorBidi" w:hAnsiTheme="majorBidi" w:cstheme="majorBidi"/>
                <w:noProof/>
                <w:sz w:val="24"/>
                <w:szCs w:val="24"/>
              </w:rPr>
              <w:t>3.</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palūkanų ir delspinigių skaičiavimo nemokumo procese</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_Toc233882979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6</w:t>
            </w:r>
            <w:r w:rsidRPr="003C3627">
              <w:rPr>
                <w:rFonts w:asciiTheme="majorBidi" w:hAnsiTheme="majorBidi" w:cstheme="majorBidi"/>
                <w:noProof/>
                <w:webHidden/>
                <w:sz w:val="24"/>
                <w:szCs w:val="24"/>
              </w:rPr>
              <w:fldChar w:fldCharType="end"/>
            </w:r>
          </w:hyperlink>
        </w:p>
        <w:p w14:paraId="4DABC3B2" w14:textId="24325C98"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0" w:history="1">
            <w:r w:rsidRPr="003C3627">
              <w:rPr>
                <w:rStyle w:val="Hyperlink"/>
                <w:rFonts w:asciiTheme="majorBidi" w:hAnsiTheme="majorBidi" w:cstheme="majorBidi"/>
                <w:noProof/>
                <w:sz w:val="24"/>
                <w:szCs w:val="24"/>
              </w:rPr>
              <w:t>4.</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juridinio asmens nemokumo nustatymo kriterijų, sprendžiant klausimą dėl juridinio asmens vadovo atsakomybės pažeidus pareigą nedelsiant inicijuoti nemokumo procesą</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_Toc233882980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7</w:t>
            </w:r>
            <w:r w:rsidRPr="003C3627">
              <w:rPr>
                <w:rFonts w:asciiTheme="majorBidi" w:hAnsiTheme="majorBidi" w:cstheme="majorBidi"/>
                <w:noProof/>
                <w:webHidden/>
                <w:sz w:val="24"/>
                <w:szCs w:val="24"/>
              </w:rPr>
              <w:fldChar w:fldCharType="end"/>
            </w:r>
          </w:hyperlink>
        </w:p>
        <w:p w14:paraId="517F63B9" w14:textId="79692327" w:rsidR="003E6555" w:rsidRPr="003C3627" w:rsidRDefault="003E6555">
          <w:pPr>
            <w:pStyle w:val="TOC1"/>
            <w:tabs>
              <w:tab w:val="left" w:pos="48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1" w:history="1">
            <w:r w:rsidRPr="003C3627">
              <w:rPr>
                <w:rStyle w:val="Hyperlink"/>
                <w:rFonts w:asciiTheme="majorBidi" w:hAnsiTheme="majorBidi" w:cstheme="majorBidi"/>
                <w:noProof/>
                <w:sz w:val="24"/>
                <w:szCs w:val="24"/>
              </w:rPr>
              <w:t>II.</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LApT nutarčių juridinių asmenų bankroto klausimais apžvalga</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_Toc233882981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8</w:t>
            </w:r>
            <w:r w:rsidRPr="003C3627">
              <w:rPr>
                <w:rFonts w:asciiTheme="majorBidi" w:hAnsiTheme="majorBidi" w:cstheme="majorBidi"/>
                <w:noProof/>
                <w:webHidden/>
                <w:sz w:val="24"/>
                <w:szCs w:val="24"/>
              </w:rPr>
              <w:fldChar w:fldCharType="end"/>
            </w:r>
          </w:hyperlink>
        </w:p>
        <w:p w14:paraId="1F2184CE" w14:textId="48BB0B79"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2" w:history="1">
            <w:r w:rsidRPr="003C3627">
              <w:rPr>
                <w:rStyle w:val="Hyperlink"/>
                <w:rFonts w:asciiTheme="majorBidi" w:hAnsiTheme="majorBidi" w:cstheme="majorBidi"/>
                <w:noProof/>
                <w:sz w:val="24"/>
                <w:szCs w:val="24"/>
              </w:rPr>
              <w:t>1.</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teismo ir kreditorių susirinkimo kompetencijos ribų bankroto procese ne teismo tvarka, sprendžiant tyčinio bankroto klausimą</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_Toc233882982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8</w:t>
            </w:r>
            <w:r w:rsidRPr="003C3627">
              <w:rPr>
                <w:rFonts w:asciiTheme="majorBidi" w:hAnsiTheme="majorBidi" w:cstheme="majorBidi"/>
                <w:noProof/>
                <w:webHidden/>
                <w:sz w:val="24"/>
                <w:szCs w:val="24"/>
              </w:rPr>
              <w:fldChar w:fldCharType="end"/>
            </w:r>
          </w:hyperlink>
        </w:p>
        <w:p w14:paraId="63F08915" w14:textId="7652CE26"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3" w:history="1">
            <w:r w:rsidRPr="003C3627">
              <w:rPr>
                <w:rStyle w:val="Hyperlink"/>
                <w:rFonts w:asciiTheme="majorBidi" w:hAnsiTheme="majorBidi" w:cstheme="majorBidi"/>
                <w:noProof/>
                <w:sz w:val="24"/>
                <w:szCs w:val="24"/>
              </w:rPr>
              <w:t>2.</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turto pardavimo kainos</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_Toc233882983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9</w:t>
            </w:r>
            <w:r w:rsidRPr="003C3627">
              <w:rPr>
                <w:rFonts w:asciiTheme="majorBidi" w:hAnsiTheme="majorBidi" w:cstheme="majorBidi"/>
                <w:noProof/>
                <w:webHidden/>
                <w:sz w:val="24"/>
                <w:szCs w:val="24"/>
              </w:rPr>
              <w:fldChar w:fldCharType="end"/>
            </w:r>
          </w:hyperlink>
        </w:p>
        <w:p w14:paraId="1DC7D7F4" w14:textId="705AFD8C"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4" w:history="1">
            <w:r w:rsidRPr="003C3627">
              <w:rPr>
                <w:rStyle w:val="Hyperlink"/>
                <w:rFonts w:asciiTheme="majorBidi" w:hAnsiTheme="majorBidi" w:cstheme="majorBidi"/>
                <w:noProof/>
                <w:sz w:val="24"/>
                <w:szCs w:val="24"/>
              </w:rPr>
              <w:t>3.</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restruktūrizavimo proceso veiksmingumo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_Toc233882984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9</w:t>
            </w:r>
            <w:r w:rsidRPr="003C3627">
              <w:rPr>
                <w:rFonts w:asciiTheme="majorBidi" w:hAnsiTheme="majorBidi" w:cstheme="majorBidi"/>
                <w:noProof/>
                <w:webHidden/>
                <w:sz w:val="24"/>
                <w:szCs w:val="24"/>
              </w:rPr>
              <w:fldChar w:fldCharType="end"/>
            </w:r>
          </w:hyperlink>
        </w:p>
        <w:p w14:paraId="16B45FA5" w14:textId="24625F7F"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5" w:history="1">
            <w:r w:rsidRPr="003C3627">
              <w:rPr>
                <w:rStyle w:val="Hyperlink"/>
                <w:rFonts w:asciiTheme="majorBidi" w:hAnsiTheme="majorBidi" w:cstheme="majorBidi"/>
                <w:noProof/>
                <w:sz w:val="24"/>
                <w:szCs w:val="24"/>
              </w:rPr>
              <w:t>4.</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juridinio asmens buveinės adreso išviešinimo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_Toc233882985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9</w:t>
            </w:r>
            <w:r w:rsidRPr="003C3627">
              <w:rPr>
                <w:rFonts w:asciiTheme="majorBidi" w:hAnsiTheme="majorBidi" w:cstheme="majorBidi"/>
                <w:noProof/>
                <w:webHidden/>
                <w:sz w:val="24"/>
                <w:szCs w:val="24"/>
              </w:rPr>
              <w:fldChar w:fldCharType="end"/>
            </w:r>
          </w:hyperlink>
        </w:p>
        <w:p w14:paraId="20C5F2AB" w14:textId="40454241"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6" w:history="1">
            <w:r w:rsidRPr="003C3627">
              <w:rPr>
                <w:rStyle w:val="Hyperlink"/>
                <w:rFonts w:asciiTheme="majorBidi" w:hAnsiTheme="majorBidi" w:cstheme="majorBidi"/>
                <w:noProof/>
                <w:sz w:val="24"/>
                <w:szCs w:val="24"/>
              </w:rPr>
              <w:t>5.</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pradinės turto pardavimo kainos varžytynėse</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_Toc233882986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10</w:t>
            </w:r>
            <w:r w:rsidRPr="003C3627">
              <w:rPr>
                <w:rFonts w:asciiTheme="majorBidi" w:hAnsiTheme="majorBidi" w:cstheme="majorBidi"/>
                <w:noProof/>
                <w:webHidden/>
                <w:sz w:val="24"/>
                <w:szCs w:val="24"/>
              </w:rPr>
              <w:fldChar w:fldCharType="end"/>
            </w:r>
          </w:hyperlink>
        </w:p>
        <w:p w14:paraId="64FB46A9" w14:textId="24E8C905"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7" w:history="1">
            <w:r w:rsidRPr="003C3627">
              <w:rPr>
                <w:rStyle w:val="Hyperlink"/>
                <w:rFonts w:asciiTheme="majorBidi" w:hAnsiTheme="majorBidi" w:cstheme="majorBidi"/>
                <w:noProof/>
                <w:sz w:val="24"/>
                <w:szCs w:val="24"/>
              </w:rPr>
              <w:t>6.</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kreditorių finansinių reikalavimų pateikimo termino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_Toc233882987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10</w:t>
            </w:r>
            <w:r w:rsidRPr="003C3627">
              <w:rPr>
                <w:rFonts w:asciiTheme="majorBidi" w:hAnsiTheme="majorBidi" w:cstheme="majorBidi"/>
                <w:noProof/>
                <w:webHidden/>
                <w:sz w:val="24"/>
                <w:szCs w:val="24"/>
              </w:rPr>
              <w:fldChar w:fldCharType="end"/>
            </w:r>
          </w:hyperlink>
        </w:p>
        <w:p w14:paraId="16D2B89C" w14:textId="3D7F582D"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8" w:history="1">
            <w:r w:rsidRPr="003C3627">
              <w:rPr>
                <w:rStyle w:val="Hyperlink"/>
                <w:rFonts w:asciiTheme="majorBidi" w:hAnsiTheme="majorBidi" w:cstheme="majorBidi"/>
                <w:noProof/>
                <w:sz w:val="24"/>
                <w:szCs w:val="24"/>
              </w:rPr>
              <w:t>7.</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naujų įrodymų teikimo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_Toc233882988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10</w:t>
            </w:r>
            <w:r w:rsidRPr="003C3627">
              <w:rPr>
                <w:rFonts w:asciiTheme="majorBidi" w:hAnsiTheme="majorBidi" w:cstheme="majorBidi"/>
                <w:noProof/>
                <w:webHidden/>
                <w:sz w:val="24"/>
                <w:szCs w:val="24"/>
              </w:rPr>
              <w:fldChar w:fldCharType="end"/>
            </w:r>
          </w:hyperlink>
        </w:p>
        <w:p w14:paraId="2D00EBC6" w14:textId="4D3AE42E"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89" w:history="1">
            <w:r w:rsidRPr="003C3627">
              <w:rPr>
                <w:rStyle w:val="Hyperlink"/>
                <w:rFonts w:asciiTheme="majorBidi" w:hAnsiTheme="majorBidi" w:cstheme="majorBidi"/>
                <w:noProof/>
                <w:sz w:val="24"/>
                <w:szCs w:val="24"/>
              </w:rPr>
              <w:t>8.</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pagrindo priteisti skolą iš subsidiarios atsakovės nemokumo administratorės</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_Toc233882989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11</w:t>
            </w:r>
            <w:r w:rsidRPr="003C3627">
              <w:rPr>
                <w:rFonts w:asciiTheme="majorBidi" w:hAnsiTheme="majorBidi" w:cstheme="majorBidi"/>
                <w:noProof/>
                <w:webHidden/>
                <w:sz w:val="24"/>
                <w:szCs w:val="24"/>
              </w:rPr>
              <w:fldChar w:fldCharType="end"/>
            </w:r>
          </w:hyperlink>
        </w:p>
        <w:p w14:paraId="1761E020" w14:textId="1A0A31C6" w:rsidR="003E6555" w:rsidRPr="003C3627" w:rsidRDefault="003E6555">
          <w:pPr>
            <w:pStyle w:val="TOC2"/>
            <w:tabs>
              <w:tab w:val="left" w:pos="72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90" w:history="1">
            <w:r w:rsidRPr="003C3627">
              <w:rPr>
                <w:rStyle w:val="Hyperlink"/>
                <w:rFonts w:asciiTheme="majorBidi" w:hAnsiTheme="majorBidi" w:cstheme="majorBidi"/>
                <w:noProof/>
                <w:sz w:val="24"/>
                <w:szCs w:val="24"/>
              </w:rPr>
              <w:t>9.</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finansinio reikalavimo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_Toc233882990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11</w:t>
            </w:r>
            <w:r w:rsidRPr="003C3627">
              <w:rPr>
                <w:rFonts w:asciiTheme="majorBidi" w:hAnsiTheme="majorBidi" w:cstheme="majorBidi"/>
                <w:noProof/>
                <w:webHidden/>
                <w:sz w:val="24"/>
                <w:szCs w:val="24"/>
              </w:rPr>
              <w:fldChar w:fldCharType="end"/>
            </w:r>
          </w:hyperlink>
        </w:p>
        <w:p w14:paraId="20DFF342" w14:textId="4F1831CB" w:rsidR="003E6555" w:rsidRPr="003C3627" w:rsidRDefault="003E6555">
          <w:pPr>
            <w:pStyle w:val="TOC2"/>
            <w:tabs>
              <w:tab w:val="left" w:pos="960"/>
              <w:tab w:val="right" w:leader="dot" w:pos="9016"/>
            </w:tabs>
            <w:rPr>
              <w:rFonts w:asciiTheme="majorBidi" w:eastAsiaTheme="minorEastAsia" w:hAnsiTheme="majorBidi" w:cstheme="majorBidi"/>
              <w:noProof/>
              <w:kern w:val="2"/>
              <w:sz w:val="24"/>
              <w:szCs w:val="24"/>
              <w:lang w:val="en-US"/>
              <w14:ligatures w14:val="standardContextual"/>
            </w:rPr>
          </w:pPr>
          <w:hyperlink w:anchor="_Toc233882991" w:history="1">
            <w:r w:rsidRPr="003C3627">
              <w:rPr>
                <w:rStyle w:val="Hyperlink"/>
                <w:rFonts w:asciiTheme="majorBidi" w:hAnsiTheme="majorBidi" w:cstheme="majorBidi"/>
                <w:noProof/>
                <w:sz w:val="24"/>
                <w:szCs w:val="24"/>
              </w:rPr>
              <w:t>10.</w:t>
            </w:r>
            <w:r w:rsidRPr="003C3627">
              <w:rPr>
                <w:rFonts w:asciiTheme="majorBidi" w:eastAsiaTheme="minorEastAsia" w:hAnsiTheme="majorBidi" w:cstheme="majorBidi"/>
                <w:noProof/>
                <w:kern w:val="2"/>
                <w:sz w:val="24"/>
                <w:szCs w:val="24"/>
                <w:lang w:val="en-US"/>
                <w14:ligatures w14:val="standardContextual"/>
              </w:rPr>
              <w:tab/>
            </w:r>
            <w:r w:rsidRPr="003C3627">
              <w:rPr>
                <w:rStyle w:val="Hyperlink"/>
                <w:rFonts w:asciiTheme="majorBidi" w:hAnsiTheme="majorBidi" w:cstheme="majorBidi"/>
                <w:noProof/>
                <w:sz w:val="24"/>
                <w:szCs w:val="24"/>
              </w:rPr>
              <w:t>Dėl žyminio mokesčio</w:t>
            </w:r>
            <w:r w:rsidRPr="003C3627">
              <w:rPr>
                <w:rFonts w:asciiTheme="majorBidi" w:hAnsiTheme="majorBidi" w:cstheme="majorBidi"/>
                <w:noProof/>
                <w:webHidden/>
                <w:sz w:val="24"/>
                <w:szCs w:val="24"/>
              </w:rPr>
              <w:tab/>
            </w:r>
            <w:r w:rsidRPr="003C3627">
              <w:rPr>
                <w:rFonts w:asciiTheme="majorBidi" w:hAnsiTheme="majorBidi" w:cstheme="majorBidi"/>
                <w:noProof/>
                <w:webHidden/>
                <w:sz w:val="24"/>
                <w:szCs w:val="24"/>
              </w:rPr>
              <w:fldChar w:fldCharType="begin"/>
            </w:r>
            <w:r w:rsidRPr="003C3627">
              <w:rPr>
                <w:rFonts w:asciiTheme="majorBidi" w:hAnsiTheme="majorBidi" w:cstheme="majorBidi"/>
                <w:noProof/>
                <w:webHidden/>
                <w:sz w:val="24"/>
                <w:szCs w:val="24"/>
              </w:rPr>
              <w:instrText xml:space="preserve"> PAGEREF _Toc233882991 \h </w:instrText>
            </w:r>
            <w:r w:rsidRPr="003C3627">
              <w:rPr>
                <w:rFonts w:asciiTheme="majorBidi" w:hAnsiTheme="majorBidi" w:cstheme="majorBidi"/>
                <w:noProof/>
                <w:webHidden/>
                <w:sz w:val="24"/>
                <w:szCs w:val="24"/>
              </w:rPr>
            </w:r>
            <w:r w:rsidRPr="003C3627">
              <w:rPr>
                <w:rFonts w:asciiTheme="majorBidi" w:hAnsiTheme="majorBidi" w:cstheme="majorBidi"/>
                <w:noProof/>
                <w:webHidden/>
                <w:sz w:val="24"/>
                <w:szCs w:val="24"/>
              </w:rPr>
              <w:fldChar w:fldCharType="separate"/>
            </w:r>
            <w:r w:rsidRPr="003C3627">
              <w:rPr>
                <w:rFonts w:asciiTheme="majorBidi" w:hAnsiTheme="majorBidi" w:cstheme="majorBidi"/>
                <w:noProof/>
                <w:webHidden/>
                <w:sz w:val="24"/>
                <w:szCs w:val="24"/>
              </w:rPr>
              <w:t>12</w:t>
            </w:r>
            <w:r w:rsidRPr="003C3627">
              <w:rPr>
                <w:rFonts w:asciiTheme="majorBidi" w:hAnsiTheme="majorBidi" w:cstheme="majorBidi"/>
                <w:noProof/>
                <w:webHidden/>
                <w:sz w:val="24"/>
                <w:szCs w:val="24"/>
              </w:rPr>
              <w:fldChar w:fldCharType="end"/>
            </w:r>
          </w:hyperlink>
        </w:p>
        <w:p w14:paraId="31DD3B74" w14:textId="6E3B088B" w:rsidR="003E6555" w:rsidRDefault="003E6555">
          <w:r w:rsidRPr="003C3627">
            <w:rPr>
              <w:rFonts w:asciiTheme="majorBidi" w:hAnsiTheme="majorBidi" w:cstheme="majorBidi"/>
              <w:b/>
              <w:bCs/>
              <w:noProof/>
              <w:sz w:val="24"/>
              <w:szCs w:val="24"/>
            </w:rPr>
            <w:fldChar w:fldCharType="end"/>
          </w:r>
        </w:p>
      </w:sdtContent>
    </w:sdt>
    <w:p w14:paraId="32559957" w14:textId="77777777" w:rsidR="00973DA0" w:rsidRDefault="00973DA0" w:rsidP="00315F03">
      <w:pPr>
        <w:rPr>
          <w:rFonts w:asciiTheme="majorBidi" w:hAnsiTheme="majorBidi" w:cstheme="majorBidi"/>
          <w:b/>
          <w:bCs/>
          <w:color w:val="000000" w:themeColor="text1"/>
          <w:sz w:val="20"/>
          <w:szCs w:val="20"/>
        </w:rPr>
      </w:pPr>
    </w:p>
    <w:p w14:paraId="260BC57F" w14:textId="77777777" w:rsidR="00973DA0" w:rsidRDefault="00973DA0" w:rsidP="00315F03">
      <w:pPr>
        <w:rPr>
          <w:rFonts w:asciiTheme="majorBidi" w:hAnsiTheme="majorBidi" w:cstheme="majorBidi"/>
          <w:b/>
          <w:bCs/>
          <w:color w:val="000000" w:themeColor="text1"/>
          <w:sz w:val="20"/>
          <w:szCs w:val="20"/>
        </w:rPr>
      </w:pPr>
    </w:p>
    <w:p w14:paraId="3B3D999B" w14:textId="77777777" w:rsidR="00973DA0" w:rsidRDefault="00973DA0" w:rsidP="00315F03">
      <w:pPr>
        <w:rPr>
          <w:rFonts w:asciiTheme="majorBidi" w:hAnsiTheme="majorBidi" w:cstheme="majorBidi"/>
          <w:b/>
          <w:bCs/>
          <w:color w:val="000000" w:themeColor="text1"/>
          <w:sz w:val="20"/>
          <w:szCs w:val="20"/>
        </w:rPr>
      </w:pPr>
    </w:p>
    <w:p w14:paraId="0A1D145C" w14:textId="77777777" w:rsidR="00973DA0" w:rsidRDefault="00973DA0" w:rsidP="00315F03">
      <w:pPr>
        <w:rPr>
          <w:rFonts w:asciiTheme="majorBidi" w:hAnsiTheme="majorBidi" w:cstheme="majorBidi"/>
          <w:b/>
          <w:bCs/>
          <w:color w:val="000000" w:themeColor="text1"/>
          <w:sz w:val="20"/>
          <w:szCs w:val="20"/>
        </w:rPr>
      </w:pPr>
    </w:p>
    <w:p w14:paraId="3883F592" w14:textId="38209A5B" w:rsidR="0023121B" w:rsidRDefault="0023121B">
      <w:pPr>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br w:type="page"/>
      </w:r>
    </w:p>
    <w:p w14:paraId="55CE7890" w14:textId="77777777" w:rsidR="00973DA0" w:rsidRDefault="00973DA0" w:rsidP="00315F03">
      <w:pPr>
        <w:rPr>
          <w:rFonts w:asciiTheme="majorBidi" w:hAnsiTheme="majorBidi" w:cstheme="majorBidi"/>
          <w:b/>
          <w:bCs/>
          <w:color w:val="000000" w:themeColor="text1"/>
          <w:sz w:val="20"/>
          <w:szCs w:val="20"/>
        </w:rPr>
      </w:pPr>
    </w:p>
    <w:p w14:paraId="05F68F52" w14:textId="4986AC83" w:rsidR="003255EF" w:rsidRDefault="00BE7B5C" w:rsidP="00BE2756">
      <w:pPr>
        <w:pStyle w:val="Heading1"/>
        <w:numPr>
          <w:ilvl w:val="0"/>
          <w:numId w:val="4"/>
        </w:numPr>
        <w:jc w:val="both"/>
      </w:pPr>
      <w:bookmarkStart w:id="0" w:name="_Toc233882976"/>
      <w:r>
        <w:t>LAT n</w:t>
      </w:r>
      <w:r w:rsidR="003255EF" w:rsidRPr="003255EF">
        <w:t>utarčių juridinių asmenų bankroto klausimais apžvalga</w:t>
      </w:r>
      <w:bookmarkEnd w:id="0"/>
    </w:p>
    <w:p w14:paraId="017A74A3" w14:textId="77777777" w:rsidR="00681A48" w:rsidRDefault="00681A48" w:rsidP="00681A48"/>
    <w:p w14:paraId="2FAEC6F9" w14:textId="3F1FBBD6" w:rsidR="00743A3D" w:rsidRDefault="00743A3D" w:rsidP="00743A3D">
      <w:pPr>
        <w:pStyle w:val="Heading2"/>
        <w:numPr>
          <w:ilvl w:val="0"/>
          <w:numId w:val="6"/>
        </w:numPr>
        <w:jc w:val="both"/>
      </w:pPr>
      <w:bookmarkStart w:id="1" w:name="_Toc233882977"/>
      <w:r w:rsidRPr="009C05DB">
        <w:t xml:space="preserve">Dėl </w:t>
      </w:r>
      <w:r w:rsidR="001F1A4E">
        <w:t xml:space="preserve">pirmosios instancijos teismo </w:t>
      </w:r>
      <w:r w:rsidR="001F1A4E" w:rsidRPr="001F1A4E">
        <w:t>nutarties, kuria patenkintas nemokumo administratoriaus prašymas jį atstatydinti, apskundimo ir bankroto bylos nutraukimo</w:t>
      </w:r>
      <w:bookmarkEnd w:id="1"/>
    </w:p>
    <w:p w14:paraId="56E247D5" w14:textId="77777777" w:rsidR="001C125F" w:rsidRDefault="001C125F" w:rsidP="001C125F">
      <w:pPr>
        <w:spacing w:after="0" w:line="240" w:lineRule="auto"/>
        <w:jc w:val="both"/>
        <w:rPr>
          <w:rFonts w:asciiTheme="majorBidi" w:hAnsiTheme="majorBidi" w:cstheme="majorBidi"/>
          <w:sz w:val="24"/>
          <w:szCs w:val="24"/>
        </w:rPr>
      </w:pPr>
    </w:p>
    <w:p w14:paraId="12F26F44" w14:textId="77777777" w:rsidR="0047722B" w:rsidRDefault="0023121B" w:rsidP="001B3B6D">
      <w:pPr>
        <w:spacing w:after="0" w:line="240" w:lineRule="auto"/>
        <w:ind w:firstLine="567"/>
        <w:jc w:val="both"/>
        <w:rPr>
          <w:rFonts w:asciiTheme="majorBidi" w:hAnsiTheme="majorBidi" w:cstheme="majorBidi"/>
          <w:sz w:val="24"/>
          <w:szCs w:val="24"/>
        </w:rPr>
      </w:pPr>
      <w:r w:rsidRPr="001F1A4E">
        <w:rPr>
          <w:rFonts w:asciiTheme="majorBidi" w:hAnsiTheme="majorBidi" w:cstheme="majorBidi"/>
          <w:sz w:val="24"/>
          <w:szCs w:val="24"/>
        </w:rPr>
        <w:t xml:space="preserve">Nemokumo administratorė pateikė teismui pakartotinį prašymą atstatydinti ją iš likviduojamos dėl bankroto bendrovės nemokumo administratoriaus pareigų. Šį prašymą grindė tuo, kad bendrovė neturi lėšų savo bankroto procesui sklandžiai ir operatyviai vykdyti, visuomenės bei gamtos saugumui užtikrinti ir nėra šaltinio, iš kurio būtų galima gauti lėšų. </w:t>
      </w:r>
    </w:p>
    <w:p w14:paraId="1D177B37" w14:textId="0C9D43D0" w:rsidR="0047722B" w:rsidRDefault="0023121B" w:rsidP="001B3B6D">
      <w:pPr>
        <w:spacing w:after="0" w:line="240" w:lineRule="auto"/>
        <w:ind w:firstLine="567"/>
        <w:jc w:val="both"/>
        <w:rPr>
          <w:rFonts w:asciiTheme="majorBidi" w:hAnsiTheme="majorBidi" w:cstheme="majorBidi"/>
          <w:sz w:val="24"/>
          <w:szCs w:val="24"/>
        </w:rPr>
      </w:pPr>
      <w:r w:rsidRPr="001F1A4E">
        <w:rPr>
          <w:rFonts w:asciiTheme="majorBidi" w:hAnsiTheme="majorBidi" w:cstheme="majorBidi"/>
          <w:sz w:val="24"/>
          <w:szCs w:val="24"/>
        </w:rPr>
        <w:t xml:space="preserve">Pirmosios instancijos teismas nutartimi atstatydino nemokumo administratorę iš bendrovės nemokumo administratoriaus pareigų ir nutraukė bendrovės bankroto bylą. </w:t>
      </w:r>
      <w:proofErr w:type="spellStart"/>
      <w:r w:rsid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Pr="001F1A4E">
        <w:rPr>
          <w:rFonts w:asciiTheme="majorBidi" w:hAnsiTheme="majorBidi" w:cstheme="majorBidi"/>
          <w:sz w:val="24"/>
          <w:szCs w:val="24"/>
        </w:rPr>
        <w:t>, išnagrinėjęs bylą pagal kreditorės atskirąjį skundą, nutartimi panaikino pirmosios instancijos teismo nutartį ir nemokumo administratorės prašymą atmetė.</w:t>
      </w:r>
    </w:p>
    <w:p w14:paraId="14CC37F2" w14:textId="0CF0463C" w:rsidR="001B3B6D" w:rsidRDefault="0023121B" w:rsidP="001B3B6D">
      <w:pPr>
        <w:spacing w:after="0" w:line="240" w:lineRule="auto"/>
        <w:ind w:firstLine="567"/>
        <w:jc w:val="both"/>
        <w:rPr>
          <w:rFonts w:asciiTheme="majorBidi" w:hAnsiTheme="majorBidi" w:cstheme="majorBidi"/>
          <w:sz w:val="24"/>
          <w:szCs w:val="24"/>
        </w:rPr>
      </w:pPr>
      <w:r w:rsidRPr="001F1A4E">
        <w:rPr>
          <w:rFonts w:asciiTheme="majorBidi" w:hAnsiTheme="majorBidi" w:cstheme="majorBidi"/>
          <w:sz w:val="24"/>
          <w:szCs w:val="24"/>
        </w:rPr>
        <w:t xml:space="preserve">Kasacinis teismas nurodė, kad pirmosios instancijos teismo nutarties, kuria tenkintas nemokumo administratoriaus prašymas atstatydinti jį JANĮ 39 straipsnio 1 dalies 3 punkto pagrindu, apskundimo procesinės tvarkos JANĮ nereglamentuoja. Dėl to tokiais atvejais turi būti vadovaujamasi CPK nuostatomis dėl pirmosios instancijos teismo nutarčių apskundimo ir sprendžiama, ar pirmiau minėta teismo nutartis užkerta galimybę tolesnei bylos eigai. </w:t>
      </w:r>
    </w:p>
    <w:p w14:paraId="6613E5E0" w14:textId="77777777" w:rsidR="001B3B6D" w:rsidRDefault="0023121B" w:rsidP="001B3B6D">
      <w:pPr>
        <w:spacing w:after="0" w:line="240" w:lineRule="auto"/>
        <w:ind w:firstLine="567"/>
        <w:jc w:val="both"/>
        <w:rPr>
          <w:rFonts w:asciiTheme="majorBidi" w:hAnsiTheme="majorBidi" w:cstheme="majorBidi"/>
          <w:sz w:val="24"/>
          <w:szCs w:val="24"/>
        </w:rPr>
      </w:pPr>
      <w:r w:rsidRPr="001F1A4E">
        <w:rPr>
          <w:rFonts w:asciiTheme="majorBidi" w:hAnsiTheme="majorBidi" w:cstheme="majorBidi"/>
          <w:sz w:val="24"/>
          <w:szCs w:val="24"/>
        </w:rPr>
        <w:t xml:space="preserve">JANĮ 40 straipsnio 7 dalyje įtvirtinta teismo pareiga atstatydinus nemokumo administratorių bankroto byloje kartu paskirti kitą nemokumo administratorių. Toks šios teisės normos tikslas orientuotas į siekį užtikrinti nepertraukiamą, greitą ir sklandų bankroto procesą, nepaliekant bankrutuojančios bendrovės be nemokumo administratoriaus. Nagrinėjamu atveju, įvertinus tai, kad pirmosios instancijos teismas, tenkindamas nemokumo administratorės prašymą atstatydinti ją iš bendrovės nemokumo administratoriaus pareigų, kartu inicijavo ir naujo nemokumo administratoriaus atranką, tačiau nemokumo administratorius nebuvo atrinktas atrankai neįvykus (negavus sutikimų), laikytina, jog tokia teismo nutartimi užkirstas kelias tolesnei bylos eigai, nes dėl šios nutarties priėmimo bankroto procesas sustojo, t. y. nesant nemokumo administratoriaus bankroto byla negali vykti. </w:t>
      </w:r>
    </w:p>
    <w:p w14:paraId="12ED9457" w14:textId="77777777" w:rsidR="001B3B6D" w:rsidRDefault="0023121B" w:rsidP="001B3B6D">
      <w:pPr>
        <w:spacing w:after="0" w:line="240" w:lineRule="auto"/>
        <w:ind w:firstLine="567"/>
        <w:jc w:val="both"/>
        <w:rPr>
          <w:rFonts w:asciiTheme="majorBidi" w:hAnsiTheme="majorBidi" w:cstheme="majorBidi"/>
          <w:sz w:val="24"/>
          <w:szCs w:val="24"/>
        </w:rPr>
      </w:pPr>
      <w:r w:rsidRPr="001F1A4E">
        <w:rPr>
          <w:rFonts w:asciiTheme="majorBidi" w:hAnsiTheme="majorBidi" w:cstheme="majorBidi"/>
          <w:sz w:val="24"/>
          <w:szCs w:val="24"/>
        </w:rPr>
        <w:t xml:space="preserve">Kasacinis teismas padarė išvadą, kad teismo nutartis, kuria teismas tenkina nemokumo administratoriaus prašymą atstatydinti jį iš bendrovės nemokumo administratoriaus pareigų, remiantis JANĮ 39 straipsnio 1 dalies 3 punktu, laikytina užkertančia kelią tolesnei bankroto bylos eigai, todėl gali būti skundžiama atskiruoju skundu. </w:t>
      </w:r>
    </w:p>
    <w:p w14:paraId="31D39A2E" w14:textId="7E677403" w:rsidR="006E5C92" w:rsidRPr="001F1A4E" w:rsidRDefault="0023121B" w:rsidP="001B3B6D">
      <w:pPr>
        <w:spacing w:after="0" w:line="240" w:lineRule="auto"/>
        <w:ind w:firstLine="567"/>
        <w:jc w:val="both"/>
        <w:rPr>
          <w:rFonts w:asciiTheme="majorBidi" w:hAnsiTheme="majorBidi" w:cstheme="majorBidi"/>
          <w:i/>
          <w:iCs/>
          <w:sz w:val="28"/>
          <w:szCs w:val="28"/>
        </w:rPr>
      </w:pPr>
      <w:r w:rsidRPr="001F1A4E">
        <w:rPr>
          <w:rFonts w:asciiTheme="majorBidi" w:hAnsiTheme="majorBidi" w:cstheme="majorBidi"/>
          <w:sz w:val="24"/>
          <w:szCs w:val="24"/>
        </w:rPr>
        <w:t xml:space="preserve">Kasacinis teismas konstatavo, kad bankroto proceso metu paaiškėjus, jog bendrovė neturi turto, iš kurio būtų apmokamos bendrovės bankroto proceso administravimo išlaidos, ir nemokumo administratorius nebuvo išreiškęs sutikimo prisiimti riziką dėl bankroto proceso administravimo išlaidų, taip pat esant aplinkybei, jog bendrovės bankroto proceso nesutinka administruoti nė vienas kitas nemokumo administratorius (prisiimdamas administravimo išlaidų riziką), teismas turi nutraukti bendrovės bankroto procesą kaip nebenagrinėtiną civilinio proceso tvarka (CPK 293 straipsnio 1 punktas) ir pavesti inicijuoti bendrovės likvidavimą Juridinių asmenų registro tvarkytojo iniciatyva. Remdamasis nurodytais argumentais, kasacinis teismas panaikino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004A6DCF" w:rsidRPr="004A6DCF">
        <w:rPr>
          <w:rFonts w:asciiTheme="majorBidi" w:hAnsiTheme="majorBidi" w:cstheme="majorBidi"/>
          <w:sz w:val="24"/>
          <w:szCs w:val="24"/>
        </w:rPr>
        <w:t xml:space="preserve"> </w:t>
      </w:r>
      <w:r w:rsidRPr="001F1A4E">
        <w:rPr>
          <w:rFonts w:asciiTheme="majorBidi" w:hAnsiTheme="majorBidi" w:cstheme="majorBidi"/>
          <w:sz w:val="24"/>
          <w:szCs w:val="24"/>
        </w:rPr>
        <w:t xml:space="preserve">nutartį ir paliko galioti pirmosios instancijos teismo nutartį. </w:t>
      </w:r>
    </w:p>
    <w:p w14:paraId="0285D330" w14:textId="43D904A2" w:rsidR="006E5C92" w:rsidRDefault="006E5C92" w:rsidP="006E5C92">
      <w:pPr>
        <w:pBdr>
          <w:bottom w:val="dotted" w:sz="24" w:space="1" w:color="auto"/>
        </w:pBdr>
        <w:jc w:val="both"/>
        <w:rPr>
          <w:rFonts w:asciiTheme="majorBidi" w:hAnsiTheme="majorBidi" w:cstheme="majorBidi"/>
          <w:i/>
          <w:iCs/>
          <w:sz w:val="24"/>
          <w:szCs w:val="24"/>
        </w:rPr>
      </w:pPr>
      <w:r w:rsidRPr="00523746">
        <w:rPr>
          <w:rFonts w:asciiTheme="majorBidi" w:hAnsiTheme="majorBidi" w:cstheme="majorBidi"/>
          <w:i/>
          <w:iCs/>
          <w:sz w:val="24"/>
          <w:szCs w:val="24"/>
        </w:rPr>
        <w:lastRenderedPageBreak/>
        <w:t xml:space="preserve">Lietuvos Aukščiausiojo Teismo 2026 m. </w:t>
      </w:r>
      <w:r w:rsidR="008C7E0F">
        <w:rPr>
          <w:rFonts w:asciiTheme="majorBidi" w:hAnsiTheme="majorBidi" w:cstheme="majorBidi"/>
          <w:i/>
          <w:iCs/>
          <w:sz w:val="24"/>
          <w:szCs w:val="24"/>
        </w:rPr>
        <w:t>balandžio 23</w:t>
      </w:r>
      <w:r w:rsidRPr="00523746">
        <w:rPr>
          <w:rFonts w:asciiTheme="majorBidi" w:hAnsiTheme="majorBidi" w:cstheme="majorBidi"/>
          <w:i/>
          <w:iCs/>
          <w:sz w:val="24"/>
          <w:szCs w:val="24"/>
        </w:rPr>
        <w:t xml:space="preserve"> d. nutartis civilinėje byloje Nr. e3K-3-</w:t>
      </w:r>
      <w:r w:rsidR="008C7E0F">
        <w:rPr>
          <w:rFonts w:asciiTheme="majorBidi" w:hAnsiTheme="majorBidi" w:cstheme="majorBidi"/>
          <w:i/>
          <w:iCs/>
          <w:sz w:val="24"/>
          <w:szCs w:val="24"/>
        </w:rPr>
        <w:t>77</w:t>
      </w:r>
      <w:r w:rsidRPr="00523746">
        <w:rPr>
          <w:rFonts w:asciiTheme="majorBidi" w:hAnsiTheme="majorBidi" w:cstheme="majorBidi"/>
          <w:i/>
          <w:iCs/>
          <w:sz w:val="24"/>
          <w:szCs w:val="24"/>
        </w:rPr>
        <w:t>-378/2026</w:t>
      </w:r>
    </w:p>
    <w:p w14:paraId="305C59AA" w14:textId="77777777" w:rsidR="006D7CF2" w:rsidRDefault="006D7CF2" w:rsidP="00513596">
      <w:pPr>
        <w:spacing w:after="0" w:line="240" w:lineRule="auto"/>
        <w:jc w:val="both"/>
        <w:rPr>
          <w:rFonts w:asciiTheme="majorBidi" w:hAnsiTheme="majorBidi" w:cstheme="majorBidi"/>
          <w:i/>
          <w:iCs/>
          <w:sz w:val="24"/>
          <w:szCs w:val="24"/>
        </w:rPr>
      </w:pPr>
    </w:p>
    <w:p w14:paraId="13AB0336" w14:textId="523730CE" w:rsidR="00C16DF9" w:rsidRDefault="00C16DF9" w:rsidP="00513596">
      <w:pPr>
        <w:pStyle w:val="Heading2"/>
        <w:numPr>
          <w:ilvl w:val="0"/>
          <w:numId w:val="6"/>
        </w:numPr>
        <w:spacing w:line="240" w:lineRule="auto"/>
        <w:jc w:val="both"/>
      </w:pPr>
      <w:bookmarkStart w:id="2" w:name="_Toc233882978"/>
      <w:r w:rsidRPr="00C16DF9">
        <w:t xml:space="preserve">Dėl </w:t>
      </w:r>
      <w:r w:rsidR="00137137" w:rsidRPr="00137137">
        <w:t>kreditorių reikalavimų pobūdžio, jų teikimo tvarkos skolininkui iškėlus nemokumo bylą</w:t>
      </w:r>
      <w:bookmarkEnd w:id="2"/>
    </w:p>
    <w:p w14:paraId="2253B0E7" w14:textId="77777777" w:rsidR="00ED0518" w:rsidRDefault="00ED0518" w:rsidP="00233583">
      <w:pPr>
        <w:spacing w:after="0" w:line="240" w:lineRule="auto"/>
      </w:pPr>
    </w:p>
    <w:p w14:paraId="643F3EF4" w14:textId="77777777" w:rsidR="00102823" w:rsidRDefault="00ED0518" w:rsidP="00233583">
      <w:pPr>
        <w:spacing w:after="0" w:line="240" w:lineRule="auto"/>
        <w:ind w:firstLine="567"/>
        <w:jc w:val="both"/>
        <w:rPr>
          <w:rFonts w:asciiTheme="majorBidi" w:hAnsiTheme="majorBidi" w:cstheme="majorBidi"/>
          <w:sz w:val="24"/>
          <w:szCs w:val="24"/>
        </w:rPr>
      </w:pPr>
      <w:r w:rsidRPr="00ED0518">
        <w:rPr>
          <w:rFonts w:asciiTheme="majorBidi" w:hAnsiTheme="majorBidi" w:cstheme="majorBidi"/>
          <w:sz w:val="24"/>
          <w:szCs w:val="24"/>
        </w:rPr>
        <w:t>Ieškovė (nuomotoja) prašė priteisti iš atsakovės (nuomininkės) nuostolių, patirtų negrąžinus nuomos sutartyje nurodyto turto, atlyginimą. Ieškovė nurodė, kad su atsakove sudarė nuomos sutartį, pagal kurią atsakovė išsinuomojo iš ieškovės nekilnojamąjį, kilnojamąjį turtą ir transporto priemones. Atsakovė įsipareigojimus pagal nuomos sutartį vykdė netinkamai, todėl ieškovės nemokumo administratorius inicijavo nuomos sutarties nutraukimą. Atsakovė taip ir neperdavė (negrąžino) ieškovės nemokumo administratoriui nuomos sutartyje nurodyto turto.</w:t>
      </w:r>
    </w:p>
    <w:p w14:paraId="5EC092F8" w14:textId="1BC53495" w:rsidR="004541BB" w:rsidRDefault="00ED0518" w:rsidP="004541BB">
      <w:pPr>
        <w:spacing w:after="0" w:line="240" w:lineRule="auto"/>
        <w:ind w:firstLine="567"/>
        <w:jc w:val="both"/>
        <w:rPr>
          <w:rFonts w:asciiTheme="majorBidi" w:hAnsiTheme="majorBidi" w:cstheme="majorBidi"/>
          <w:sz w:val="24"/>
          <w:szCs w:val="24"/>
        </w:rPr>
      </w:pPr>
      <w:r w:rsidRPr="00ED0518">
        <w:rPr>
          <w:rFonts w:asciiTheme="majorBidi" w:hAnsiTheme="majorBidi" w:cstheme="majorBidi"/>
          <w:sz w:val="24"/>
          <w:szCs w:val="24"/>
        </w:rPr>
        <w:t xml:space="preserve">Pirmosios instancijos teismas ieškinį atmetė, nurodydamas, kad reikalavimas turėjo būti pareikštas atsakovės nemokumo byloje per įstatyme nustatytą terminą.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Pr="00ED0518">
        <w:rPr>
          <w:rFonts w:asciiTheme="majorBidi" w:hAnsiTheme="majorBidi" w:cstheme="majorBidi"/>
          <w:sz w:val="24"/>
          <w:szCs w:val="24"/>
        </w:rPr>
        <w:t xml:space="preserve"> šį sprendimą panaikino ir priteisė ieškovei nuostolių atlyginimą, nurodydamas, kad ieškovė kreipėsi ne dėl kreditoriaus reikalavimo tvirtinimo, todėl pirmiausia turėjo būti išnagrinėta civilinė byla pagal ieškovės reikalavimą dėl žalos atlyginimo. </w:t>
      </w:r>
    </w:p>
    <w:p w14:paraId="202C0064" w14:textId="5D59F2B3" w:rsidR="004770EC" w:rsidRDefault="00ED0518" w:rsidP="004541BB">
      <w:pPr>
        <w:spacing w:after="0" w:line="240" w:lineRule="auto"/>
        <w:ind w:firstLine="567"/>
        <w:jc w:val="both"/>
        <w:rPr>
          <w:rFonts w:asciiTheme="majorBidi" w:hAnsiTheme="majorBidi" w:cstheme="majorBidi"/>
          <w:sz w:val="24"/>
          <w:szCs w:val="24"/>
        </w:rPr>
      </w:pPr>
      <w:r w:rsidRPr="00ED0518">
        <w:rPr>
          <w:rFonts w:asciiTheme="majorBidi" w:hAnsiTheme="majorBidi" w:cstheme="majorBidi"/>
          <w:sz w:val="24"/>
          <w:szCs w:val="24"/>
        </w:rPr>
        <w:t xml:space="preserve">Kasacinis teismas konstatavo, kad, skolininkui iškėlus nemokumo bylą, kreditoriai reikalavimus turi reikšti ne tiesiogiai teismui, o nemokumo administratoriui. Pastarasis, įvertinęs kreditorių pateiktų reikalavimų pagrįstumą, nemokumo bylą nagrinėjančiam teismui teikia argumentuotą nuomonę dėl pareikštų kreditorių reikalavimų, atitinkamai suformuluodamas nemokumo bylą nagrinėjančiam teismui prašymą juos tvirtinti arba jų netvirtinti. Nemokumo bylą nagrinėjantis teismas, spręsdamas kreditoriaus reikalavimo tvirtinimo klausimą, turi įvertinti kreditoriaus materialiojo reikalavimo pagrįstumą ir atitinkamai jį patvirtinti arba jo netvirtinti. Tais atvejais, kai dėl nemokumo administratoriaus teismui pateiktų tvirtinti konkrečių kreditorių reikalavimų jau yra kilęs ginčas, teismas tokių kreditorių reikalavimų tvirtinimo klausimą nagrinėja pagal bendrąsias ginčo teisenos taisykles ir atlieka išsamų įrodymų tyrimą. Teismas turi teisę spręsti kreditoriaus reikalavimo, atsiradusio iki nemokumo bylos iškėlimo, tvirtinimo klausimą, net ir tais atvejais, kai jis pateiktas praleidus JANĮ 41 straipsnio 1 dalyje nustatytą kreditorių reikalavimų pateikimo nemokumo administratoriui terminą, jeigu teismas šio termino praleidimo priežastis pripažįsta svarbiomis. Kuo ilgesnis yra termino finansiniam reikalavimui pateikti praleidimo laikotarpis, tuo svarbesnės objektyvios priežastys, pateisinančios šio termino praleidimą, turi egzistuoti, kad būtų pripažinta, jog finansinis reikalavimas gali būti priimtas tvirtinti. </w:t>
      </w:r>
    </w:p>
    <w:p w14:paraId="3873A8B1" w14:textId="013A5311" w:rsidR="00233583" w:rsidRDefault="00ED0518" w:rsidP="00827A76">
      <w:pPr>
        <w:spacing w:after="0" w:line="240" w:lineRule="auto"/>
        <w:ind w:firstLine="567"/>
        <w:jc w:val="both"/>
        <w:rPr>
          <w:rFonts w:asciiTheme="majorBidi" w:hAnsiTheme="majorBidi" w:cstheme="majorBidi"/>
          <w:sz w:val="24"/>
          <w:szCs w:val="24"/>
        </w:rPr>
      </w:pPr>
      <w:r w:rsidRPr="00ED0518">
        <w:rPr>
          <w:rFonts w:asciiTheme="majorBidi" w:hAnsiTheme="majorBidi" w:cstheme="majorBidi"/>
          <w:sz w:val="24"/>
          <w:szCs w:val="24"/>
        </w:rPr>
        <w:t>Kasacinis teismas išaiškino, kad jeigu kreditoriaus reikalavimas nemokiam juridiniam asmeniui atsiranda po JANĮ 41 straipsnio 1 dalyje nustatyto kreditorių reikalavimų pateikimo nemokumo byloje termino prasidėjimo arba jo pabaigos ir dėl tokio kreditoriaus reikalavimo pagrįstumo kyla ginčas, jį pagal bendrąsias ginčo teisenos taisykles turi nagrinėti nemokumo bylą nagrinėjantis teismas. Šis teismas, spręsdamas tokio reikalavimo tvirtinimo klausimą, pirmiausia privalo įvertinti termino kreditoriaus reikalavimui pateikti praleidimo priežastis, trukmę ir kitas šio termino atnaujinimo klausimui tinkamai išspręsti reikšmingas aplinkybes, kadangi gali būti patvirtintas tik toks finansinis reikalavimas, kurio pateikimo tvirtinti terminas praleistas dėl svarbių priežasčių.</w:t>
      </w:r>
    </w:p>
    <w:p w14:paraId="5753543E" w14:textId="05BB18E0" w:rsidR="00283CD2" w:rsidRPr="00ED0518" w:rsidRDefault="00ED0518" w:rsidP="00233583">
      <w:pPr>
        <w:spacing w:after="0" w:line="240" w:lineRule="auto"/>
        <w:ind w:firstLine="567"/>
        <w:jc w:val="both"/>
        <w:rPr>
          <w:rFonts w:asciiTheme="majorBidi" w:hAnsiTheme="majorBidi" w:cstheme="majorBidi"/>
          <w:sz w:val="24"/>
          <w:szCs w:val="24"/>
        </w:rPr>
      </w:pPr>
      <w:r w:rsidRPr="00ED0518">
        <w:rPr>
          <w:rFonts w:asciiTheme="majorBidi" w:hAnsiTheme="majorBidi" w:cstheme="majorBidi"/>
          <w:sz w:val="24"/>
          <w:szCs w:val="24"/>
        </w:rPr>
        <w:lastRenderedPageBreak/>
        <w:t xml:space="preserve">Kasacinis teismas, atsižvelgdamas į tai, kad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004A6DCF" w:rsidRPr="004A6DCF">
        <w:rPr>
          <w:rFonts w:asciiTheme="majorBidi" w:hAnsiTheme="majorBidi" w:cstheme="majorBidi"/>
          <w:sz w:val="24"/>
          <w:szCs w:val="24"/>
        </w:rPr>
        <w:t xml:space="preserve"> </w:t>
      </w:r>
      <w:r w:rsidRPr="00ED0518">
        <w:rPr>
          <w:rFonts w:asciiTheme="majorBidi" w:hAnsiTheme="majorBidi" w:cstheme="majorBidi"/>
          <w:sz w:val="24"/>
          <w:szCs w:val="24"/>
        </w:rPr>
        <w:t xml:space="preserve">netinkamai kvalifikavo ieškovės reikalavimo nagrinėjimo tvarką ir dėl šios priežasties neįvertino formalaus reikalavimo kreditoriaus reikalavimui pareikšti, t. y. nepasisakė dėl JANĮ 41 straipsnio 1 dalyje įtvirtinto termino (ne)praleidimo, jeigu jis praleistas, dėl teisinio pagrindo terminą atnaujinti (JANĮ 41 straipsnio 4 dalis), o nesant tam pagrindo, dėl JANĮ 41 straipsnio 6 dalies taikymo, panaikino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004A6DCF" w:rsidRPr="004A6DCF">
        <w:rPr>
          <w:rFonts w:asciiTheme="majorBidi" w:hAnsiTheme="majorBidi" w:cstheme="majorBidi"/>
          <w:sz w:val="24"/>
          <w:szCs w:val="24"/>
        </w:rPr>
        <w:t xml:space="preserve"> </w:t>
      </w:r>
      <w:r w:rsidRPr="00ED0518">
        <w:rPr>
          <w:rFonts w:asciiTheme="majorBidi" w:hAnsiTheme="majorBidi" w:cstheme="majorBidi"/>
          <w:sz w:val="24"/>
          <w:szCs w:val="24"/>
        </w:rPr>
        <w:t>nutartį ir grąžino šiam teismui bylą nagrinėti iš naujo.</w:t>
      </w:r>
    </w:p>
    <w:p w14:paraId="54882622" w14:textId="77777777" w:rsidR="001B3B6D" w:rsidRDefault="001B3B6D" w:rsidP="00ED0518">
      <w:pPr>
        <w:spacing w:after="0" w:line="240" w:lineRule="auto"/>
        <w:jc w:val="both"/>
        <w:rPr>
          <w:rFonts w:asciiTheme="majorBidi" w:hAnsiTheme="majorBidi" w:cstheme="majorBidi"/>
          <w:sz w:val="24"/>
          <w:szCs w:val="24"/>
        </w:rPr>
      </w:pPr>
    </w:p>
    <w:p w14:paraId="6E24C4F4" w14:textId="5B50A4F1" w:rsidR="006D7CF2" w:rsidRDefault="006D7CF2" w:rsidP="002271E7">
      <w:pPr>
        <w:spacing w:after="0" w:line="240" w:lineRule="auto"/>
        <w:jc w:val="both"/>
        <w:rPr>
          <w:rFonts w:asciiTheme="majorBidi" w:hAnsiTheme="majorBidi" w:cstheme="majorBidi"/>
          <w:i/>
          <w:iCs/>
          <w:sz w:val="24"/>
          <w:szCs w:val="24"/>
        </w:rPr>
      </w:pPr>
      <w:r w:rsidRPr="00F43957">
        <w:rPr>
          <w:rFonts w:asciiTheme="majorBidi" w:hAnsiTheme="majorBidi" w:cstheme="majorBidi"/>
          <w:i/>
          <w:iCs/>
          <w:sz w:val="24"/>
          <w:szCs w:val="24"/>
        </w:rPr>
        <w:t xml:space="preserve">Lietuvos Aukščiausiojo Teismo 2026 m. </w:t>
      </w:r>
      <w:r w:rsidR="00283CD2">
        <w:rPr>
          <w:rFonts w:asciiTheme="majorBidi" w:hAnsiTheme="majorBidi" w:cstheme="majorBidi"/>
          <w:i/>
          <w:iCs/>
          <w:sz w:val="24"/>
          <w:szCs w:val="24"/>
        </w:rPr>
        <w:t>gegužės 7</w:t>
      </w:r>
      <w:r w:rsidRPr="00F43957">
        <w:rPr>
          <w:rFonts w:asciiTheme="majorBidi" w:hAnsiTheme="majorBidi" w:cstheme="majorBidi"/>
          <w:i/>
          <w:iCs/>
          <w:sz w:val="24"/>
          <w:szCs w:val="24"/>
        </w:rPr>
        <w:t xml:space="preserve"> d. nutartis civilinėje byloje Nr. e3K-3-</w:t>
      </w:r>
      <w:r w:rsidR="00283CD2">
        <w:rPr>
          <w:rFonts w:asciiTheme="majorBidi" w:hAnsiTheme="majorBidi" w:cstheme="majorBidi"/>
          <w:i/>
          <w:iCs/>
          <w:sz w:val="24"/>
          <w:szCs w:val="24"/>
        </w:rPr>
        <w:t>82</w:t>
      </w:r>
      <w:r w:rsidRPr="00F43957">
        <w:rPr>
          <w:rFonts w:asciiTheme="majorBidi" w:hAnsiTheme="majorBidi" w:cstheme="majorBidi"/>
          <w:i/>
          <w:iCs/>
          <w:sz w:val="24"/>
          <w:szCs w:val="24"/>
        </w:rPr>
        <w:t>-</w:t>
      </w:r>
      <w:r w:rsidR="00283CD2">
        <w:rPr>
          <w:rFonts w:asciiTheme="majorBidi" w:hAnsiTheme="majorBidi" w:cstheme="majorBidi"/>
          <w:i/>
          <w:iCs/>
          <w:sz w:val="24"/>
          <w:szCs w:val="24"/>
        </w:rPr>
        <w:t>403</w:t>
      </w:r>
      <w:r w:rsidRPr="00F43957">
        <w:rPr>
          <w:rFonts w:asciiTheme="majorBidi" w:hAnsiTheme="majorBidi" w:cstheme="majorBidi"/>
          <w:i/>
          <w:iCs/>
          <w:sz w:val="24"/>
          <w:szCs w:val="24"/>
        </w:rPr>
        <w:t>/2026</w:t>
      </w:r>
    </w:p>
    <w:p w14:paraId="2CA74E9E" w14:textId="77777777" w:rsidR="006D7CF2" w:rsidRDefault="006D7CF2" w:rsidP="002271E7">
      <w:pPr>
        <w:pBdr>
          <w:bottom w:val="dotted" w:sz="24" w:space="1" w:color="auto"/>
        </w:pBdr>
        <w:spacing w:after="0" w:line="240" w:lineRule="auto"/>
        <w:jc w:val="both"/>
        <w:rPr>
          <w:rFonts w:asciiTheme="majorBidi" w:hAnsiTheme="majorBidi" w:cstheme="majorBidi"/>
          <w:i/>
          <w:iCs/>
          <w:sz w:val="24"/>
          <w:szCs w:val="24"/>
        </w:rPr>
      </w:pPr>
    </w:p>
    <w:p w14:paraId="365569C2" w14:textId="77777777" w:rsidR="006D7CF2" w:rsidRDefault="006D7CF2" w:rsidP="006D7CF2">
      <w:pPr>
        <w:spacing w:after="0" w:line="240" w:lineRule="auto"/>
        <w:jc w:val="both"/>
        <w:rPr>
          <w:rFonts w:asciiTheme="majorBidi" w:hAnsiTheme="majorBidi" w:cstheme="majorBidi"/>
          <w:i/>
          <w:iCs/>
          <w:sz w:val="24"/>
          <w:szCs w:val="24"/>
        </w:rPr>
      </w:pPr>
    </w:p>
    <w:p w14:paraId="0CD01866" w14:textId="3832C390" w:rsidR="001F114F" w:rsidRPr="001F114F" w:rsidRDefault="007A7E4B" w:rsidP="003F7B52">
      <w:pPr>
        <w:pStyle w:val="Heading2"/>
        <w:numPr>
          <w:ilvl w:val="0"/>
          <w:numId w:val="6"/>
        </w:numPr>
        <w:jc w:val="both"/>
      </w:pPr>
      <w:bookmarkStart w:id="3" w:name="_Toc233629813"/>
      <w:bookmarkStart w:id="4" w:name="_Toc233882979"/>
      <w:r w:rsidRPr="007A7E4B">
        <w:t xml:space="preserve">Dėl </w:t>
      </w:r>
      <w:bookmarkEnd w:id="3"/>
      <w:r w:rsidR="00B86817" w:rsidRPr="00B86817">
        <w:t>palūkanų ir delspinigių skaičiavimo nemokumo procese</w:t>
      </w:r>
      <w:bookmarkEnd w:id="4"/>
    </w:p>
    <w:p w14:paraId="70A386E0" w14:textId="77777777" w:rsidR="005A226F" w:rsidRDefault="005A226F" w:rsidP="001F114F">
      <w:pPr>
        <w:pStyle w:val="NormalWeb"/>
        <w:shd w:val="clear" w:color="auto" w:fill="FFFFFF"/>
        <w:spacing w:before="0" w:beforeAutospacing="0" w:after="0" w:afterAutospacing="0"/>
        <w:ind w:firstLine="1298"/>
        <w:jc w:val="both"/>
        <w:rPr>
          <w:rFonts w:asciiTheme="majorBidi" w:hAnsiTheme="majorBidi" w:cstheme="majorBidi"/>
        </w:rPr>
      </w:pPr>
    </w:p>
    <w:p w14:paraId="276230DA" w14:textId="77777777" w:rsidR="00643873"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Ieškovė (kreditorė) pateikė bankrutuojančios uždarosios akcinės bendrovės nemokumo administratorei prašymą įtraukti ją į kreditorių sąrašą su finansiniu reikalavimu, kurį sudarė paskola ir kompensuojamosios palūkanos. Nemokumo administratorė prašė netvirtinti ieškovės finansinio reikalavimo dėl palūkanų dalies, apskaičiuotos nuo nutarties iškelti restruktūrizavimo bylą įsiteisėjimo iki nutarties iškelti bankroto bylą įsiteisėjimo. </w:t>
      </w:r>
    </w:p>
    <w:p w14:paraId="708AA93D" w14:textId="62758012" w:rsidR="00643873"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Pirmosios instancijos teismas nutartimi atmetė ieškovės prašymą dėl palūkanų finansinio reikalavimo dalies patvirtinimo bankrutuojančios uždarosios akcinės bendrovės bankroto byloje.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004A6DCF" w:rsidRPr="004A6DCF">
        <w:rPr>
          <w:rFonts w:asciiTheme="majorBidi" w:hAnsiTheme="majorBidi" w:cstheme="majorBidi"/>
          <w:sz w:val="24"/>
          <w:szCs w:val="24"/>
        </w:rPr>
        <w:t xml:space="preserve"> </w:t>
      </w:r>
      <w:r w:rsidRPr="00AC1E4E">
        <w:rPr>
          <w:rFonts w:asciiTheme="majorBidi" w:hAnsiTheme="majorBidi" w:cstheme="majorBidi"/>
          <w:sz w:val="24"/>
          <w:szCs w:val="24"/>
        </w:rPr>
        <w:t xml:space="preserve">pirmosios instancijos teismo nutartį paliko nepakeistą. </w:t>
      </w:r>
    </w:p>
    <w:p w14:paraId="0D978CBE" w14:textId="77777777" w:rsidR="00643873"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Kasacinis teismas nurodė, kad JANĮ įtvirtinta, jog nuo teismo nutarties iškelti nemokumo bylą įsiteisėjimo dienos iki teismo nutarties patvirtinti restruktūrizavimo planą arba nutraukti nemokumo bylą įsiteisėjimo dienos draudžiama skaičiuoti netesybas ir palūkanas už juridinio asmens prievoles, atsiradusias iki teismo nutarties iškelti nemokumo bylą įsiteisėjimo dienos (JANĮ 28 straipsnio 1 dalies 4 punktas). Šis straipsnis reglamentuoja nemokumo bylos iškėlimo pasekmes, todėl taikomas iškėlus tiek bankroto, tiek restruktūrizavimo bylą. </w:t>
      </w:r>
    </w:p>
    <w:p w14:paraId="19D5F294" w14:textId="77777777" w:rsidR="00643873"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Kasacinis teismas pažymėjo, kad pareiga nutraukiant restruktūrizavimo bylą spręsti klausimą dėl bankroto bylos iškėlimo (JANĮ 114 straipsnio 3 dalis) teismui kyla dėl to, kad, nesant jokio objektyvaus pagrindo tikėtis, jog restruktūrizavimo procesu siekiami tikslai bus pasiekti ateityje, t. y. nutraukus restruktūrizavimo bylą, operatyviai turi būti pereinama prie kitos galimos priemonės – bankroto bylos iškėlimo svarstymo, kadangi, laiku nepašalinus nemokaus rinkos dalyvio iš rinkos, bus daroma žala kreditoriams ir bendrovei ir didinami jos įsiskolinimai. Nutraukdamas restruktūrizavimo bylą ir siekdamas iškelti bankroto bylą, teismas remiasi JANĮ 114 straipsnio 3 dalimi, todėl jokie ikiteisminės bankroto procedūros veiksmai neturi būti atliekami. Tokiu atveju nemokumo procesas laikytinas vientisu nuo restruktūrizavimo bylos iškėlimo iki galutinio proceso užbaigimo (bankroto pabaigos ir bendrovės išregistravimo), todėl palūkanų skaičiavimo draudimas, nustatytas JANĮ 28 straipsnio 1 dalies 4 punkte, taikomas nuo nemokumo bylos iškėlimo dienos, t. y. restruktūrizavimo bylos, ir tęsiasi viso proceso metu, neatsižvelgiant į jo formos pakeitimus. </w:t>
      </w:r>
    </w:p>
    <w:p w14:paraId="6F14B7F6" w14:textId="1DE3F489" w:rsidR="00643873"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Kasacinio teismo vertinimu, priešingu aiškinimu būtų paneigti pagrindiniai nemokumo reguliavimo principai – išsaugoti įmonės turto masę, užkirsti kelią nekontroliuojamam įsipareigojimų didėjimui ir užtikrinti kreditorių lygiateisiškumą. Tokia teisės aiškinimo kryptis lemia ir finansinių reikalavimų nustatymo principą: kreditorių reikalavimai nemokumo byloje turi būti fiksuojami tokio dydžio ir apimties, kokie jie buvo nutarties iškelti nemokumo bylą įsiteisėjimo dieną, todėl šie reikalavimai negali būti didinami vėliau skaičiuojant palūkanas ar </w:t>
      </w:r>
      <w:r w:rsidRPr="00AC1E4E">
        <w:rPr>
          <w:rFonts w:asciiTheme="majorBidi" w:hAnsiTheme="majorBidi" w:cstheme="majorBidi"/>
          <w:sz w:val="24"/>
          <w:szCs w:val="24"/>
        </w:rPr>
        <w:lastRenderedPageBreak/>
        <w:t xml:space="preserve">netesybas laikotarpiu, kai galioja minėtas draudimas. Todėl tais atvejais, kai restruktūrizavimo tikslai nepasiekiami ir nemokumo procesas pereina į bankrotą, nėra teisinio ar ekonominio pagrindo laikyti, kad palūkanos už visą restruktūrizavimo laikotarpį turėtų būti skaičiuojamos atgaline data, nes tai iškreiptų kreditorių interesų pusiausvyrą ir sumažintų bankroto procese kreditorių reikalavimams tenkinti būtiną turto masę. </w:t>
      </w:r>
    </w:p>
    <w:p w14:paraId="3E5DE1B7" w14:textId="503E8963" w:rsidR="00FA10F8" w:rsidRDefault="00AC1E4E" w:rsidP="00AC1E4E">
      <w:pPr>
        <w:spacing w:after="0" w:line="240" w:lineRule="auto"/>
        <w:ind w:firstLine="567"/>
        <w:jc w:val="both"/>
        <w:rPr>
          <w:rFonts w:asciiTheme="majorBidi" w:hAnsiTheme="majorBidi" w:cstheme="majorBidi"/>
          <w:sz w:val="24"/>
          <w:szCs w:val="24"/>
        </w:rPr>
      </w:pPr>
      <w:r w:rsidRPr="00AC1E4E">
        <w:rPr>
          <w:rFonts w:asciiTheme="majorBidi" w:hAnsiTheme="majorBidi" w:cstheme="majorBidi"/>
          <w:sz w:val="24"/>
          <w:szCs w:val="24"/>
        </w:rPr>
        <w:t xml:space="preserve">Remdamasis nurodytais argumentais, kasacinis teismas </w:t>
      </w:r>
      <w:proofErr w:type="spellStart"/>
      <w:r w:rsidR="004A6DCF" w:rsidRPr="004A6DCF">
        <w:rPr>
          <w:rFonts w:asciiTheme="majorBidi" w:hAnsiTheme="majorBidi" w:cstheme="majorBidi"/>
          <w:sz w:val="24"/>
          <w:szCs w:val="24"/>
        </w:rPr>
        <w:t>LAp</w:t>
      </w:r>
      <w:r w:rsidR="00D11E5F">
        <w:rPr>
          <w:rFonts w:asciiTheme="majorBidi" w:hAnsiTheme="majorBidi" w:cstheme="majorBidi"/>
          <w:sz w:val="24"/>
          <w:szCs w:val="24"/>
        </w:rPr>
        <w:t>T</w:t>
      </w:r>
      <w:proofErr w:type="spellEnd"/>
      <w:r w:rsidR="004A6DCF" w:rsidRPr="004A6DCF">
        <w:rPr>
          <w:rFonts w:asciiTheme="majorBidi" w:hAnsiTheme="majorBidi" w:cstheme="majorBidi"/>
          <w:sz w:val="24"/>
          <w:szCs w:val="24"/>
        </w:rPr>
        <w:t xml:space="preserve"> </w:t>
      </w:r>
      <w:r w:rsidRPr="00AC1E4E">
        <w:rPr>
          <w:rFonts w:asciiTheme="majorBidi" w:hAnsiTheme="majorBidi" w:cstheme="majorBidi"/>
          <w:sz w:val="24"/>
          <w:szCs w:val="24"/>
        </w:rPr>
        <w:t>teismo nutartį paliko nepakeistą.</w:t>
      </w:r>
    </w:p>
    <w:p w14:paraId="2F38C055" w14:textId="77777777" w:rsidR="00B86817" w:rsidRDefault="00B86817" w:rsidP="00E5072B">
      <w:pPr>
        <w:spacing w:after="0" w:line="240" w:lineRule="auto"/>
        <w:jc w:val="both"/>
        <w:rPr>
          <w:rFonts w:asciiTheme="majorBidi" w:hAnsiTheme="majorBidi" w:cstheme="majorBidi"/>
          <w:sz w:val="24"/>
          <w:szCs w:val="24"/>
        </w:rPr>
      </w:pPr>
    </w:p>
    <w:p w14:paraId="26D9D5FF" w14:textId="0A13306C" w:rsidR="003255EF" w:rsidRPr="007F3637" w:rsidRDefault="00B561C7" w:rsidP="007F3637">
      <w:pPr>
        <w:pBdr>
          <w:bottom w:val="dotted" w:sz="24" w:space="1" w:color="auto"/>
        </w:pBdr>
        <w:spacing w:after="0" w:line="240" w:lineRule="auto"/>
        <w:jc w:val="both"/>
        <w:rPr>
          <w:rFonts w:asciiTheme="majorBidi" w:hAnsiTheme="majorBidi" w:cstheme="majorBidi"/>
          <w:i/>
          <w:iCs/>
          <w:sz w:val="24"/>
          <w:szCs w:val="24"/>
        </w:rPr>
      </w:pPr>
      <w:r>
        <w:rPr>
          <w:rFonts w:asciiTheme="majorBidi" w:hAnsiTheme="majorBidi" w:cstheme="majorBidi"/>
          <w:sz w:val="24"/>
          <w:szCs w:val="24"/>
        </w:rPr>
        <w:t xml:space="preserve"> </w:t>
      </w:r>
      <w:r w:rsidR="001C71C4" w:rsidRPr="00F43957">
        <w:rPr>
          <w:rFonts w:asciiTheme="majorBidi" w:hAnsiTheme="majorBidi" w:cstheme="majorBidi"/>
          <w:i/>
          <w:iCs/>
          <w:sz w:val="24"/>
          <w:szCs w:val="24"/>
        </w:rPr>
        <w:t xml:space="preserve">Lietuvos Aukščiausiojo Teismo </w:t>
      </w:r>
      <w:r w:rsidR="00FA10F8" w:rsidRPr="002D00BB">
        <w:rPr>
          <w:rFonts w:asciiTheme="majorBidi" w:hAnsiTheme="majorBidi" w:cstheme="majorBidi"/>
          <w:i/>
          <w:iCs/>
          <w:sz w:val="24"/>
          <w:szCs w:val="24"/>
        </w:rPr>
        <w:t xml:space="preserve">2026 m. </w:t>
      </w:r>
      <w:r w:rsidR="00B86817">
        <w:rPr>
          <w:rFonts w:asciiTheme="majorBidi" w:hAnsiTheme="majorBidi" w:cstheme="majorBidi"/>
          <w:i/>
          <w:iCs/>
          <w:sz w:val="24"/>
          <w:szCs w:val="24"/>
        </w:rPr>
        <w:t>gegužės 21</w:t>
      </w:r>
      <w:r w:rsidR="00FA10F8" w:rsidRPr="002D00BB">
        <w:rPr>
          <w:rFonts w:asciiTheme="majorBidi" w:hAnsiTheme="majorBidi" w:cstheme="majorBidi"/>
          <w:i/>
          <w:iCs/>
          <w:sz w:val="24"/>
          <w:szCs w:val="24"/>
        </w:rPr>
        <w:t xml:space="preserve"> d. nutartis civilinėje byloje Nr. </w:t>
      </w:r>
      <w:r w:rsidR="00C0152D" w:rsidRPr="00C0152D">
        <w:rPr>
          <w:rFonts w:asciiTheme="majorBidi" w:hAnsiTheme="majorBidi" w:cstheme="majorBidi"/>
          <w:i/>
          <w:iCs/>
          <w:sz w:val="24"/>
          <w:szCs w:val="24"/>
        </w:rPr>
        <w:t>e3K-3-</w:t>
      </w:r>
      <w:r w:rsidR="00B86817">
        <w:rPr>
          <w:rFonts w:asciiTheme="majorBidi" w:hAnsiTheme="majorBidi" w:cstheme="majorBidi"/>
          <w:i/>
          <w:iCs/>
          <w:sz w:val="24"/>
          <w:szCs w:val="24"/>
        </w:rPr>
        <w:t>74</w:t>
      </w:r>
      <w:r w:rsidR="00C0152D" w:rsidRPr="00C0152D">
        <w:rPr>
          <w:rFonts w:asciiTheme="majorBidi" w:hAnsiTheme="majorBidi" w:cstheme="majorBidi"/>
          <w:i/>
          <w:iCs/>
          <w:sz w:val="24"/>
          <w:szCs w:val="24"/>
        </w:rPr>
        <w:t>-</w:t>
      </w:r>
      <w:r w:rsidR="00996459">
        <w:rPr>
          <w:rFonts w:asciiTheme="majorBidi" w:hAnsiTheme="majorBidi" w:cstheme="majorBidi"/>
          <w:i/>
          <w:iCs/>
          <w:sz w:val="24"/>
          <w:szCs w:val="24"/>
        </w:rPr>
        <w:t>781</w:t>
      </w:r>
      <w:r w:rsidR="00C0152D" w:rsidRPr="00C0152D">
        <w:rPr>
          <w:rFonts w:asciiTheme="majorBidi" w:hAnsiTheme="majorBidi" w:cstheme="majorBidi"/>
          <w:i/>
          <w:iCs/>
          <w:sz w:val="24"/>
          <w:szCs w:val="24"/>
        </w:rPr>
        <w:t>/2026</w:t>
      </w:r>
    </w:p>
    <w:p w14:paraId="7CBD74D3" w14:textId="77777777" w:rsidR="007F3637" w:rsidRDefault="007F3637" w:rsidP="007F3637"/>
    <w:p w14:paraId="7417F730" w14:textId="6DA4D1AB" w:rsidR="00401D5B" w:rsidRPr="001F114F" w:rsidRDefault="00401D5B" w:rsidP="00996459">
      <w:pPr>
        <w:pStyle w:val="Heading2"/>
        <w:numPr>
          <w:ilvl w:val="0"/>
          <w:numId w:val="6"/>
        </w:numPr>
        <w:jc w:val="both"/>
      </w:pPr>
      <w:bookmarkStart w:id="5" w:name="_Toc233882980"/>
      <w:r w:rsidRPr="007A7E4B">
        <w:t xml:space="preserve">Dėl </w:t>
      </w:r>
      <w:r w:rsidR="00996459">
        <w:t>juridinio asmens nemokumo nustatymo kriterijų, sprendžiant klausimą dėl juridinio asmens vadovo atsakomybės pažeidus pareigą nedelsiant inicijuoti nemokumo procesą</w:t>
      </w:r>
      <w:bookmarkEnd w:id="5"/>
    </w:p>
    <w:p w14:paraId="5672EB4A" w14:textId="77777777" w:rsidR="00401D5B" w:rsidRDefault="00401D5B" w:rsidP="00401D5B">
      <w:pPr>
        <w:pStyle w:val="NormalWeb"/>
        <w:shd w:val="clear" w:color="auto" w:fill="FFFFFF"/>
        <w:spacing w:before="0" w:beforeAutospacing="0" w:after="0" w:afterAutospacing="0"/>
        <w:ind w:firstLine="1298"/>
        <w:jc w:val="both"/>
        <w:rPr>
          <w:rFonts w:asciiTheme="majorBidi" w:hAnsiTheme="majorBidi" w:cstheme="majorBidi"/>
        </w:rPr>
      </w:pPr>
    </w:p>
    <w:p w14:paraId="4450B7BB" w14:textId="77777777" w:rsidR="00B355E0" w:rsidRDefault="00B36258" w:rsidP="00B36258">
      <w:pPr>
        <w:pStyle w:val="NormalWeb"/>
        <w:shd w:val="clear" w:color="auto" w:fill="FFFFFF"/>
        <w:spacing w:before="0" w:beforeAutospacing="0" w:after="0" w:afterAutospacing="0"/>
        <w:ind w:firstLine="567"/>
        <w:jc w:val="both"/>
      </w:pPr>
      <w:r>
        <w:t xml:space="preserve">Ieškovė (likviduojama dėl bankroto uždaroji akcinė bendrovė) prašė priteisti iš atsakovo (buvusio bendrovės vadovo) žalos atlyginimą. Ieškovė nurodė, kad teismo nutartimi jai iškelta bankroto byla ir nustatyta, kad ji buvo nemoki daugiau nei pusantrų metų iki bankroto bylos iškėlimo, kai įmonei vadovavo atsakovas. Ieškovei sukeltos žalos dydis grindžiamas skaičiavimais, patvirtinančiais ieškovės kreditorių reikalavimų ieškovei padidėjimą per laikotarpį nuo atsakovo pareigos inicijuoti ieškovės bankroto bylą atsiradimo iki jo įgaliojimų vadovauti ieškovei pabaigos. </w:t>
      </w:r>
    </w:p>
    <w:p w14:paraId="4F0AFEEB" w14:textId="02DBA5F4" w:rsidR="00B355E0" w:rsidRDefault="00B36258" w:rsidP="00B36258">
      <w:pPr>
        <w:pStyle w:val="NormalWeb"/>
        <w:shd w:val="clear" w:color="auto" w:fill="FFFFFF"/>
        <w:spacing w:before="0" w:beforeAutospacing="0" w:after="0" w:afterAutospacing="0"/>
        <w:ind w:firstLine="567"/>
        <w:jc w:val="both"/>
      </w:pPr>
      <w:r>
        <w:t xml:space="preserve">Pirmosios instancijos teismas sprendimu ieškinį atmetė. </w:t>
      </w:r>
      <w:proofErr w:type="spellStart"/>
      <w:r w:rsidR="004A6DCF" w:rsidRPr="004A6DCF">
        <w:t>LAp</w:t>
      </w:r>
      <w:r w:rsidR="00D11E5F">
        <w:t>T</w:t>
      </w:r>
      <w:proofErr w:type="spellEnd"/>
      <w:r w:rsidR="004A6DCF" w:rsidRPr="004A6DCF">
        <w:t xml:space="preserve"> </w:t>
      </w:r>
      <w:r>
        <w:t xml:space="preserve">pažymėjo, kad, priešingai nei nurodė pirmosios instancijos teismas, JANĮ nėra nustatytas reikalavimas, sprendžiant dėl juridinio asmens nemokumo momento, nustatyti juridinio asmens nemokumą tiek balanso, tiek ir likvidumo testais – šie kriterijai yra alternatyvūs, t. y. vieno iš jų nustatymas yra pakankamas juridinio asmens nemokumui konstatuoti. </w:t>
      </w:r>
      <w:proofErr w:type="spellStart"/>
      <w:r w:rsidR="004A6DCF" w:rsidRPr="004A6DCF">
        <w:t>LAp</w:t>
      </w:r>
      <w:r w:rsidR="00D11E5F">
        <w:t>T</w:t>
      </w:r>
      <w:proofErr w:type="spellEnd"/>
      <w:r w:rsidR="004A6DCF" w:rsidRPr="004A6DCF">
        <w:t xml:space="preserve"> </w:t>
      </w:r>
      <w:r>
        <w:t xml:space="preserve">sprendimu panaikino pirmosios instancijos teismo sprendimą ir priėmė naują sprendimą – ieškinį tenkino iš dalies: priteisė ieškovei iš atsakovo dalį žalos atlyginimo, kitą civilinės bylos dalį nutraukė. </w:t>
      </w:r>
    </w:p>
    <w:p w14:paraId="4DF91BA0" w14:textId="77777777" w:rsidR="00B355E0" w:rsidRDefault="00B36258" w:rsidP="00B36258">
      <w:pPr>
        <w:pStyle w:val="NormalWeb"/>
        <w:shd w:val="clear" w:color="auto" w:fill="FFFFFF"/>
        <w:spacing w:before="0" w:beforeAutospacing="0" w:after="0" w:afterAutospacing="0"/>
        <w:ind w:firstLine="567"/>
        <w:jc w:val="both"/>
      </w:pPr>
      <w:r>
        <w:t xml:space="preserve">Kasacinis teismas konstatavo, kad JANĮ 2 straipsnio 7 dalis, pagal kurią juridinio asmens nemokumas – juridinio asmens būsena, kai juridinis asmuo laiku negali vykdyti turtinių prievolių arba juridinio asmens įsipareigojimai viršija jo turto vertę, turi būti aiškinama kaip įtvirtinanti du alternatyvius nemokumo nustatymo kriterijus. Tai reiškia, kad juridinio asmens nemokumui konstatuoti pakanka nustatyti vieną iš JANĮ 2 straipsnio 7 dalyje nurodytų kriterijų: juridinio asmens negalėjimą laiku įvykdyti turtinių prievolių (likvidumo testas); arba tai, kad juridinio asmens įsipareigojimai viršija jo turto vertę (balanso testas). </w:t>
      </w:r>
    </w:p>
    <w:p w14:paraId="2DA83E16" w14:textId="73E25C3A" w:rsidR="00B36258" w:rsidRDefault="00B36258" w:rsidP="00B36258">
      <w:pPr>
        <w:pStyle w:val="NormalWeb"/>
        <w:shd w:val="clear" w:color="auto" w:fill="FFFFFF"/>
        <w:spacing w:before="0" w:beforeAutospacing="0" w:after="0" w:afterAutospacing="0"/>
        <w:ind w:firstLine="567"/>
        <w:jc w:val="both"/>
      </w:pPr>
      <w:r>
        <w:t xml:space="preserve">Kasacinis teismas pažymėjo, kad šių kriterijų alternatyvus pobūdis nesudaro pagrindo bet kurį jų taikyti formaliai, neatsižvelgiant į juridinio asmens nemokumo instituto paskirtį ir tikslus. Keliant juridinio asmens bankroto bylą turėtų būti nustatoma reali į balansą įrašyto turto vertė, o juridinio asmens balanso duomenimis apie turtą ir jo vertę būtų galima remtis tik tuo atveju, kai nekyla abejonių dėl balanso duomenų patikimumo. Negalėjimas laiku įvykdyti prievolių taip pat neturėtų būti vertinamas atsietai nuo nemokumo instituto tikslų ir paskirties, nevertinant įsipareigojimų nevykdymo sistemiškumo, pradelstų įsipareigojimų dydžio, struktūros ar kitų konkrečiu atveju pripažintinų reikšmingomis aplinkybių. </w:t>
      </w:r>
    </w:p>
    <w:p w14:paraId="63B9A763" w14:textId="4BC24F30" w:rsidR="00996459" w:rsidRDefault="00B36258" w:rsidP="00B36258">
      <w:pPr>
        <w:pStyle w:val="NormalWeb"/>
        <w:shd w:val="clear" w:color="auto" w:fill="FFFFFF"/>
        <w:spacing w:before="0" w:beforeAutospacing="0" w:after="0" w:afterAutospacing="0"/>
        <w:ind w:firstLine="567"/>
        <w:jc w:val="both"/>
        <w:rPr>
          <w:rFonts w:asciiTheme="majorBidi" w:hAnsiTheme="majorBidi" w:cstheme="majorBidi"/>
        </w:rPr>
      </w:pPr>
      <w:r>
        <w:t xml:space="preserve">Remdamasis nurodytais argumentais, kasacinis teismas </w:t>
      </w:r>
      <w:proofErr w:type="spellStart"/>
      <w:r w:rsidR="004A6DCF" w:rsidRPr="004A6DCF">
        <w:t>LAp</w:t>
      </w:r>
      <w:r w:rsidR="00D11E5F">
        <w:t>T</w:t>
      </w:r>
      <w:proofErr w:type="spellEnd"/>
      <w:r w:rsidR="004A6DCF" w:rsidRPr="004A6DCF">
        <w:t xml:space="preserve"> </w:t>
      </w:r>
      <w:r>
        <w:t>sprendimą paliko nepakeistą.</w:t>
      </w:r>
    </w:p>
    <w:p w14:paraId="11B963A8" w14:textId="77777777" w:rsidR="00401D5B" w:rsidRDefault="00401D5B" w:rsidP="00401D5B">
      <w:pPr>
        <w:spacing w:after="0" w:line="240" w:lineRule="auto"/>
        <w:ind w:firstLine="1298"/>
        <w:jc w:val="both"/>
        <w:rPr>
          <w:rFonts w:asciiTheme="majorBidi" w:hAnsiTheme="majorBidi" w:cstheme="majorBidi"/>
          <w:sz w:val="24"/>
          <w:szCs w:val="24"/>
        </w:rPr>
      </w:pPr>
    </w:p>
    <w:p w14:paraId="1030DB7B" w14:textId="1E073171" w:rsidR="00401D5B" w:rsidRPr="007F3637" w:rsidRDefault="00401D5B" w:rsidP="00401D5B">
      <w:pPr>
        <w:pBdr>
          <w:bottom w:val="dotted" w:sz="24" w:space="1" w:color="auto"/>
        </w:pBdr>
        <w:spacing w:after="0" w:line="240" w:lineRule="auto"/>
        <w:jc w:val="both"/>
        <w:rPr>
          <w:rFonts w:asciiTheme="majorBidi" w:hAnsiTheme="majorBidi" w:cstheme="majorBidi"/>
          <w:i/>
          <w:iCs/>
          <w:sz w:val="24"/>
          <w:szCs w:val="24"/>
        </w:rPr>
      </w:pPr>
      <w:r>
        <w:rPr>
          <w:rFonts w:asciiTheme="majorBidi" w:hAnsiTheme="majorBidi" w:cstheme="majorBidi"/>
          <w:sz w:val="24"/>
          <w:szCs w:val="24"/>
        </w:rPr>
        <w:t xml:space="preserve"> </w:t>
      </w:r>
      <w:r w:rsidRPr="00F43957">
        <w:rPr>
          <w:rFonts w:asciiTheme="majorBidi" w:hAnsiTheme="majorBidi" w:cstheme="majorBidi"/>
          <w:i/>
          <w:iCs/>
          <w:sz w:val="24"/>
          <w:szCs w:val="24"/>
        </w:rPr>
        <w:t xml:space="preserve">Lietuvos Aukščiausiojo Teismo </w:t>
      </w:r>
      <w:r w:rsidRPr="002D00BB">
        <w:rPr>
          <w:rFonts w:asciiTheme="majorBidi" w:hAnsiTheme="majorBidi" w:cstheme="majorBidi"/>
          <w:i/>
          <w:iCs/>
          <w:sz w:val="24"/>
          <w:szCs w:val="24"/>
        </w:rPr>
        <w:t xml:space="preserve">2026 m. </w:t>
      </w:r>
      <w:r w:rsidR="00D356C9">
        <w:rPr>
          <w:rFonts w:asciiTheme="majorBidi" w:hAnsiTheme="majorBidi" w:cstheme="majorBidi"/>
          <w:i/>
          <w:iCs/>
          <w:sz w:val="24"/>
          <w:szCs w:val="24"/>
        </w:rPr>
        <w:t>gegužės 22</w:t>
      </w:r>
      <w:r w:rsidRPr="002D00BB">
        <w:rPr>
          <w:rFonts w:asciiTheme="majorBidi" w:hAnsiTheme="majorBidi" w:cstheme="majorBidi"/>
          <w:i/>
          <w:iCs/>
          <w:sz w:val="24"/>
          <w:szCs w:val="24"/>
        </w:rPr>
        <w:t xml:space="preserve"> d. nutartis civilinėje byloje Nr. </w:t>
      </w:r>
      <w:r w:rsidRPr="00C0152D">
        <w:rPr>
          <w:rFonts w:asciiTheme="majorBidi" w:hAnsiTheme="majorBidi" w:cstheme="majorBidi"/>
          <w:i/>
          <w:iCs/>
          <w:sz w:val="24"/>
          <w:szCs w:val="24"/>
        </w:rPr>
        <w:t>e3K-3-</w:t>
      </w:r>
      <w:r w:rsidR="00D356C9">
        <w:rPr>
          <w:rFonts w:asciiTheme="majorBidi" w:hAnsiTheme="majorBidi" w:cstheme="majorBidi"/>
          <w:i/>
          <w:iCs/>
          <w:sz w:val="24"/>
          <w:szCs w:val="24"/>
        </w:rPr>
        <w:t>95</w:t>
      </w:r>
      <w:r w:rsidRPr="00C0152D">
        <w:rPr>
          <w:rFonts w:asciiTheme="majorBidi" w:hAnsiTheme="majorBidi" w:cstheme="majorBidi"/>
          <w:i/>
          <w:iCs/>
          <w:sz w:val="24"/>
          <w:szCs w:val="24"/>
        </w:rPr>
        <w:t>-</w:t>
      </w:r>
      <w:r w:rsidR="00D356C9">
        <w:rPr>
          <w:rFonts w:asciiTheme="majorBidi" w:hAnsiTheme="majorBidi" w:cstheme="majorBidi"/>
          <w:i/>
          <w:iCs/>
          <w:sz w:val="24"/>
          <w:szCs w:val="24"/>
        </w:rPr>
        <w:t>1249</w:t>
      </w:r>
      <w:r w:rsidRPr="00C0152D">
        <w:rPr>
          <w:rFonts w:asciiTheme="majorBidi" w:hAnsiTheme="majorBidi" w:cstheme="majorBidi"/>
          <w:i/>
          <w:iCs/>
          <w:sz w:val="24"/>
          <w:szCs w:val="24"/>
        </w:rPr>
        <w:t>/2026</w:t>
      </w:r>
    </w:p>
    <w:p w14:paraId="49FC6E15" w14:textId="77777777" w:rsidR="00401D5B" w:rsidRPr="007F3637" w:rsidRDefault="00401D5B" w:rsidP="007F3637"/>
    <w:p w14:paraId="53C028C0" w14:textId="3EF44693" w:rsidR="00BE7B5C" w:rsidRDefault="00BE7B5C" w:rsidP="00D07187">
      <w:pPr>
        <w:pStyle w:val="Heading1"/>
        <w:numPr>
          <w:ilvl w:val="0"/>
          <w:numId w:val="4"/>
        </w:numPr>
        <w:jc w:val="both"/>
      </w:pPr>
      <w:bookmarkStart w:id="6" w:name="_Toc233882981"/>
      <w:proofErr w:type="spellStart"/>
      <w:r>
        <w:t>LAp</w:t>
      </w:r>
      <w:r w:rsidR="005E15C8">
        <w:t>T</w:t>
      </w:r>
      <w:proofErr w:type="spellEnd"/>
      <w:r>
        <w:t xml:space="preserve"> n</w:t>
      </w:r>
      <w:r w:rsidRPr="003255EF">
        <w:t>utarčių juridinių asmenų bankroto klausimais apžvalga</w:t>
      </w:r>
      <w:bookmarkEnd w:id="6"/>
    </w:p>
    <w:p w14:paraId="78B436F8" w14:textId="77777777" w:rsidR="00BE2756" w:rsidRDefault="00BE2756" w:rsidP="00BE2756"/>
    <w:p w14:paraId="0F52649B" w14:textId="7C820B9B" w:rsidR="00C856BD" w:rsidRDefault="00C856BD" w:rsidP="009A4F0C">
      <w:pPr>
        <w:pStyle w:val="Heading2"/>
        <w:numPr>
          <w:ilvl w:val="0"/>
          <w:numId w:val="13"/>
        </w:numPr>
        <w:spacing w:line="240" w:lineRule="auto"/>
        <w:jc w:val="both"/>
      </w:pPr>
      <w:bookmarkStart w:id="7" w:name="_Toc233882982"/>
      <w:r>
        <w:t xml:space="preserve">Dėl </w:t>
      </w:r>
      <w:r w:rsidRPr="00C856BD">
        <w:t>teismo ir kreditorių susirinkimo kompetencijos ribų bankroto procese ne teismo tvarka, sprendžiant tyčinio bankroto klausim</w:t>
      </w:r>
      <w:r w:rsidR="00513596">
        <w:t>ą</w:t>
      </w:r>
      <w:bookmarkEnd w:id="7"/>
    </w:p>
    <w:p w14:paraId="33135992" w14:textId="77777777" w:rsidR="00513596" w:rsidRDefault="00513596" w:rsidP="008B2351">
      <w:pPr>
        <w:spacing w:after="0" w:line="240" w:lineRule="auto"/>
      </w:pPr>
    </w:p>
    <w:p w14:paraId="68CAACE0" w14:textId="4CF86F0D" w:rsidR="00437239" w:rsidRDefault="00437239" w:rsidP="00437239">
      <w:pPr>
        <w:spacing w:after="0" w:line="240" w:lineRule="auto"/>
        <w:ind w:firstLine="360"/>
        <w:jc w:val="both"/>
        <w:rPr>
          <w:rFonts w:ascii="Times New Roman" w:eastAsia="Aptos" w:hAnsi="Times New Roman" w:cs="Times New Roman"/>
          <w:kern w:val="2"/>
          <w:sz w:val="24"/>
          <w:szCs w:val="24"/>
          <w14:ligatures w14:val="standardContextual"/>
        </w:rPr>
      </w:pPr>
      <w:proofErr w:type="spellStart"/>
      <w:r w:rsidRPr="00437239">
        <w:rPr>
          <w:rFonts w:ascii="Times New Roman" w:eastAsia="Aptos" w:hAnsi="Times New Roman" w:cs="Times New Roman"/>
          <w:kern w:val="2"/>
          <w:sz w:val="24"/>
          <w:szCs w:val="24"/>
          <w14:ligatures w14:val="standardContextual"/>
        </w:rPr>
        <w:t>LAp</w:t>
      </w:r>
      <w:r w:rsidR="00D11E5F">
        <w:rPr>
          <w:rFonts w:ascii="Times New Roman" w:eastAsia="Aptos" w:hAnsi="Times New Roman" w:cs="Times New Roman"/>
          <w:kern w:val="2"/>
          <w:sz w:val="24"/>
          <w:szCs w:val="24"/>
          <w14:ligatures w14:val="standardContextual"/>
        </w:rPr>
        <w:t>T</w:t>
      </w:r>
      <w:proofErr w:type="spellEnd"/>
      <w:r w:rsidRPr="00437239">
        <w:rPr>
          <w:rFonts w:ascii="Times New Roman" w:eastAsia="Aptos" w:hAnsi="Times New Roman" w:cs="Times New Roman"/>
          <w:kern w:val="2"/>
          <w:sz w:val="24"/>
          <w:szCs w:val="24"/>
          <w14:ligatures w14:val="standardContextual"/>
        </w:rPr>
        <w:t xml:space="preserve">, aiškindamas JANĮ 12 straipsnio normą lingvistiniu metodu, pažymi, kad pagrindinis kriterijus, skiriantis teismo tvarka vykdomą bankrotą nuo ne teismo tvarka vykdomo bankroto proceso, yra tas, kad pastaruoju atveju nemokumo procesas vykdomas bendru įmonės ir jos kreditorių susitarimu, kreditoriams kaip visumai leidžiant nuspręsti dėl šio proceso eigos ir tvarkos. Įstatymo leidėjas kreditorių susirinkimui iš esmės suteikė šiame įstatyme ir CPK nustatytą teismo kompetenciją, išskyrus nustatytas siauras išimtis dėl nemokumo administratoriaus atrankos ir teismo skiriamų procesinių baudų. </w:t>
      </w:r>
    </w:p>
    <w:p w14:paraId="31F83C13" w14:textId="49F53E32" w:rsidR="00437239" w:rsidRDefault="00437239" w:rsidP="00437239">
      <w:pPr>
        <w:spacing w:after="0" w:line="240" w:lineRule="auto"/>
        <w:ind w:firstLine="360"/>
        <w:jc w:val="both"/>
        <w:rPr>
          <w:rFonts w:ascii="Times New Roman" w:eastAsia="Aptos" w:hAnsi="Times New Roman" w:cs="Times New Roman"/>
          <w:kern w:val="2"/>
          <w:sz w:val="24"/>
          <w:szCs w:val="24"/>
          <w14:ligatures w14:val="standardContextual"/>
        </w:rPr>
      </w:pPr>
      <w:r w:rsidRPr="00437239">
        <w:rPr>
          <w:rFonts w:ascii="Times New Roman" w:eastAsia="Aptos" w:hAnsi="Times New Roman" w:cs="Times New Roman"/>
          <w:kern w:val="2"/>
          <w:sz w:val="24"/>
          <w:szCs w:val="24"/>
          <w14:ligatures w14:val="standardContextual"/>
        </w:rPr>
        <w:t>Aiškinant JANĮ 12 straipsnio 3 dalį pagal įstatymo leidėjo ketinimų metodą, JANĮ parengiamųjų darbų (</w:t>
      </w:r>
      <w:proofErr w:type="spellStart"/>
      <w:r w:rsidRPr="00437239">
        <w:rPr>
          <w:rFonts w:ascii="Times New Roman" w:eastAsia="Aptos" w:hAnsi="Times New Roman" w:cs="Times New Roman"/>
          <w:kern w:val="2"/>
          <w:sz w:val="24"/>
          <w:szCs w:val="24"/>
          <w14:ligatures w14:val="standardContextual"/>
        </w:rPr>
        <w:t>pranc</w:t>
      </w:r>
      <w:proofErr w:type="spellEnd"/>
      <w:r w:rsidRPr="00437239">
        <w:rPr>
          <w:rFonts w:ascii="Times New Roman" w:eastAsia="Aptos" w:hAnsi="Times New Roman" w:cs="Times New Roman"/>
          <w:kern w:val="2"/>
          <w:sz w:val="24"/>
          <w:szCs w:val="24"/>
          <w14:ligatures w14:val="standardContextual"/>
        </w:rPr>
        <w:t xml:space="preserve">. </w:t>
      </w:r>
      <w:proofErr w:type="spellStart"/>
      <w:r w:rsidRPr="00437239">
        <w:rPr>
          <w:rFonts w:ascii="Times New Roman" w:eastAsia="Aptos" w:hAnsi="Times New Roman" w:cs="Times New Roman"/>
          <w:kern w:val="2"/>
          <w:sz w:val="24"/>
          <w:szCs w:val="24"/>
          <w14:ligatures w14:val="standardContextual"/>
        </w:rPr>
        <w:t>travaux</w:t>
      </w:r>
      <w:proofErr w:type="spellEnd"/>
      <w:r w:rsidRPr="00437239">
        <w:rPr>
          <w:rFonts w:ascii="Times New Roman" w:eastAsia="Aptos" w:hAnsi="Times New Roman" w:cs="Times New Roman"/>
          <w:kern w:val="2"/>
          <w:sz w:val="24"/>
          <w:szCs w:val="24"/>
          <w14:ligatures w14:val="standardContextual"/>
        </w:rPr>
        <w:t xml:space="preserve"> </w:t>
      </w:r>
      <w:proofErr w:type="spellStart"/>
      <w:r w:rsidRPr="00437239">
        <w:rPr>
          <w:rFonts w:ascii="Times New Roman" w:eastAsia="Aptos" w:hAnsi="Times New Roman" w:cs="Times New Roman"/>
          <w:kern w:val="2"/>
          <w:sz w:val="24"/>
          <w:szCs w:val="24"/>
          <w14:ligatures w14:val="standardContextual"/>
        </w:rPr>
        <w:t>preparatoires</w:t>
      </w:r>
      <w:proofErr w:type="spellEnd"/>
      <w:r w:rsidRPr="00437239">
        <w:rPr>
          <w:rFonts w:ascii="Times New Roman" w:eastAsia="Aptos" w:hAnsi="Times New Roman" w:cs="Times New Roman"/>
          <w:kern w:val="2"/>
          <w:sz w:val="24"/>
          <w:szCs w:val="24"/>
          <w14:ligatures w14:val="standardContextual"/>
        </w:rPr>
        <w:t xml:space="preserve">) analizė </w:t>
      </w:r>
      <w:proofErr w:type="spellStart"/>
      <w:r w:rsidRPr="00437239">
        <w:rPr>
          <w:rFonts w:ascii="Times New Roman" w:eastAsia="Aptos" w:hAnsi="Times New Roman" w:cs="Times New Roman"/>
          <w:kern w:val="2"/>
          <w:sz w:val="24"/>
          <w:szCs w:val="24"/>
          <w14:ligatures w14:val="standardContextual"/>
        </w:rPr>
        <w:t>LAp</w:t>
      </w:r>
      <w:r w:rsidR="00D11E5F">
        <w:rPr>
          <w:rFonts w:ascii="Times New Roman" w:eastAsia="Aptos" w:hAnsi="Times New Roman" w:cs="Times New Roman"/>
          <w:kern w:val="2"/>
          <w:sz w:val="24"/>
          <w:szCs w:val="24"/>
          <w14:ligatures w14:val="standardContextual"/>
        </w:rPr>
        <w:t>T</w:t>
      </w:r>
      <w:proofErr w:type="spellEnd"/>
      <w:r w:rsidRPr="00437239">
        <w:rPr>
          <w:rFonts w:ascii="Times New Roman" w:eastAsia="Aptos" w:hAnsi="Times New Roman" w:cs="Times New Roman"/>
          <w:kern w:val="2"/>
          <w:sz w:val="24"/>
          <w:szCs w:val="24"/>
          <w14:ligatures w14:val="standardContextual"/>
        </w:rPr>
        <w:t xml:space="preserve"> leidžia daryti išvadą, kad </w:t>
      </w:r>
      <w:r w:rsidRPr="00F14328">
        <w:rPr>
          <w:rFonts w:ascii="Times New Roman" w:eastAsia="Aptos" w:hAnsi="Times New Roman" w:cs="Times New Roman"/>
          <w:i/>
          <w:iCs/>
          <w:kern w:val="2"/>
          <w:sz w:val="24"/>
          <w:szCs w:val="24"/>
          <w14:ligatures w14:val="standardContextual"/>
        </w:rPr>
        <w:t>įstatymo leidėjas prioritetą teikia efektyviam ir veiksmingam bankroto procesui, nemenkinant veiksmingos teisminės nemokumo proceso teisėtumo kontrolės.</w:t>
      </w:r>
      <w:r w:rsidRPr="00437239">
        <w:rPr>
          <w:rFonts w:ascii="Times New Roman" w:eastAsia="Aptos" w:hAnsi="Times New Roman" w:cs="Times New Roman"/>
          <w:kern w:val="2"/>
          <w:sz w:val="24"/>
          <w:szCs w:val="24"/>
          <w14:ligatures w14:val="standardContextual"/>
        </w:rPr>
        <w:t xml:space="preserve"> Pažymėtina, kad tyčinis juridinio asmens bankrotas yra specifinis juridinių asmenų nemokumo (bankroto) teisės institutas.</w:t>
      </w:r>
    </w:p>
    <w:p w14:paraId="7FD53169" w14:textId="4F134984" w:rsidR="00437239" w:rsidRDefault="00437239" w:rsidP="00437239">
      <w:pPr>
        <w:spacing w:after="0" w:line="240" w:lineRule="auto"/>
        <w:ind w:firstLine="360"/>
        <w:jc w:val="both"/>
        <w:rPr>
          <w:rFonts w:ascii="Times New Roman" w:eastAsia="Aptos" w:hAnsi="Times New Roman" w:cs="Times New Roman"/>
          <w:i/>
          <w:iCs/>
          <w:kern w:val="2"/>
          <w:sz w:val="24"/>
          <w:szCs w:val="24"/>
          <w14:ligatures w14:val="standardContextual"/>
        </w:rPr>
      </w:pPr>
      <w:r w:rsidRPr="00437239">
        <w:rPr>
          <w:rFonts w:ascii="Times New Roman" w:eastAsia="Aptos" w:hAnsi="Times New Roman" w:cs="Times New Roman"/>
          <w:kern w:val="2"/>
          <w:sz w:val="24"/>
          <w:szCs w:val="24"/>
          <w14:ligatures w14:val="standardContextual"/>
        </w:rPr>
        <w:t xml:space="preserve">JANĮ 71 straipsnio 1 dalyje nustatyta, kad teismas gali pripažinti bankrotą tyčiniu savo iniciatyva kreditoriaus arba nemokumo administratoriaus prašymu, t. y. įstatymas nenustato, jog sprendimą dėl tyčinio bankroto galėtų priimti kitas subjektas (nagrinėjamu atveju – kreditorių susirinkimas), o ne teismas. </w:t>
      </w:r>
      <w:r w:rsidRPr="00F14328">
        <w:rPr>
          <w:rFonts w:ascii="Times New Roman" w:eastAsia="Aptos" w:hAnsi="Times New Roman" w:cs="Times New Roman"/>
          <w:i/>
          <w:iCs/>
          <w:kern w:val="2"/>
          <w:sz w:val="24"/>
          <w:szCs w:val="24"/>
          <w14:ligatures w14:val="standardContextual"/>
        </w:rPr>
        <w:t>Taigi nors JANĮ 12 straipsnio 1 dalyje įtvirtinta, kad bankroto procesą vykdant ne teismo tvarka, teismo kompetencijai skirtus klausimus sprendžia kreditorių susirinkimas, tačiau ši nuostata turi būti vertinama sistemiškai su JANĮ 71 straipsnio 1 dalies nuostata ir aiškinama taip, kad kreditorių susirinkimas ne teismo tvarka vykdomo bankroto procese svarsto ir sprendžia tik tokius teismo kompetencijai priskirtus klausimus, kurie betarpiškai susiję su bankroto proceso metu vykdomomis procedūromis.</w:t>
      </w:r>
    </w:p>
    <w:p w14:paraId="07C9A76D" w14:textId="5695B7E6" w:rsidR="002506CD" w:rsidRPr="002506CD" w:rsidRDefault="002506CD" w:rsidP="00437239">
      <w:pPr>
        <w:spacing w:after="0" w:line="240" w:lineRule="auto"/>
        <w:ind w:firstLine="360"/>
        <w:jc w:val="both"/>
        <w:rPr>
          <w:rFonts w:ascii="Times New Roman" w:eastAsia="Aptos" w:hAnsi="Times New Roman" w:cs="Times New Roman"/>
          <w:i/>
          <w:iCs/>
          <w:kern w:val="2"/>
          <w:sz w:val="24"/>
          <w:szCs w:val="24"/>
          <w14:ligatures w14:val="standardContextual"/>
        </w:rPr>
      </w:pPr>
      <w:r w:rsidRPr="002506CD">
        <w:rPr>
          <w:rFonts w:ascii="Times New Roman" w:eastAsia="Aptos" w:hAnsi="Times New Roman" w:cs="Times New Roman"/>
          <w:kern w:val="2"/>
          <w:sz w:val="24"/>
          <w:szCs w:val="24"/>
          <w14:ligatures w14:val="standardContextual"/>
        </w:rPr>
        <w:t xml:space="preserve">Atsižvelgiant į viešojo intereso apsaugos poreikį nemokumo procese, taip pat įvertinus tiek neteisminio bankroto, tiek ir tyčinio bankroto institutų specifikas, tyčinio bankroto instituto sukeliamas reikšmingas ekonomines bei materialiąsias ir procesines teisines pasekmes, efektyvios gynybos ir rungimosi principo tokiame procese užtikrinimo poreikį, </w:t>
      </w:r>
      <w:proofErr w:type="spellStart"/>
      <w:r>
        <w:rPr>
          <w:rFonts w:ascii="Times New Roman" w:eastAsia="Aptos" w:hAnsi="Times New Roman" w:cs="Times New Roman"/>
          <w:kern w:val="2"/>
          <w:sz w:val="24"/>
          <w:szCs w:val="24"/>
          <w14:ligatures w14:val="standardContextual"/>
        </w:rPr>
        <w:t>LAp</w:t>
      </w:r>
      <w:r w:rsidR="00D11E5F">
        <w:rPr>
          <w:rFonts w:ascii="Times New Roman" w:eastAsia="Aptos" w:hAnsi="Times New Roman" w:cs="Times New Roman"/>
          <w:kern w:val="2"/>
          <w:sz w:val="24"/>
          <w:szCs w:val="24"/>
          <w14:ligatures w14:val="standardContextual"/>
        </w:rPr>
        <w:t>T</w:t>
      </w:r>
      <w:proofErr w:type="spellEnd"/>
      <w:r w:rsidRPr="002506CD">
        <w:rPr>
          <w:rFonts w:ascii="Times New Roman" w:eastAsia="Aptos" w:hAnsi="Times New Roman" w:cs="Times New Roman"/>
          <w:kern w:val="2"/>
          <w:sz w:val="24"/>
          <w:szCs w:val="24"/>
          <w14:ligatures w14:val="standardContextual"/>
        </w:rPr>
        <w:t xml:space="preserve"> konstatuoja, kad </w:t>
      </w:r>
      <w:r w:rsidRPr="002506CD">
        <w:rPr>
          <w:rFonts w:ascii="Times New Roman" w:eastAsia="Aptos" w:hAnsi="Times New Roman" w:cs="Times New Roman"/>
          <w:i/>
          <w:iCs/>
          <w:kern w:val="2"/>
          <w:sz w:val="24"/>
          <w:szCs w:val="24"/>
          <w14:ligatures w14:val="standardContextual"/>
        </w:rPr>
        <w:t>klausimai dėl bankroto pripažinimo tyčiniu ir kalto asmens nustatymo bankroto ne teismo tvarka procedūroje priskirtini teismo, o ne kreditorių susirinkimo, kompetencijai.</w:t>
      </w:r>
    </w:p>
    <w:p w14:paraId="32C925FC" w14:textId="77777777" w:rsidR="00C5642A" w:rsidRDefault="00C5642A" w:rsidP="008B2351">
      <w:pPr>
        <w:spacing w:after="0" w:line="240" w:lineRule="auto"/>
      </w:pPr>
    </w:p>
    <w:p w14:paraId="656FC988" w14:textId="6C94DDF9" w:rsidR="00513596" w:rsidRDefault="00513596" w:rsidP="008B2351">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Pr>
          <w:rFonts w:asciiTheme="majorBidi" w:hAnsiTheme="majorBidi" w:cstheme="majorBidi"/>
          <w:i/>
          <w:iCs/>
          <w:sz w:val="24"/>
          <w:szCs w:val="24"/>
        </w:rPr>
        <w:t>balandžio 1</w:t>
      </w:r>
      <w:r w:rsidRPr="00C63ECC">
        <w:rPr>
          <w:rFonts w:asciiTheme="majorBidi" w:hAnsiTheme="majorBidi" w:cstheme="majorBidi"/>
          <w:i/>
          <w:iCs/>
          <w:sz w:val="24"/>
          <w:szCs w:val="24"/>
        </w:rPr>
        <w:t xml:space="preserve"> d. nutartis, priimta civilinėje byloje Nr. </w:t>
      </w:r>
      <w:r w:rsidRPr="00513596">
        <w:rPr>
          <w:rFonts w:asciiTheme="majorBidi" w:hAnsiTheme="majorBidi" w:cstheme="majorBidi"/>
          <w:i/>
          <w:iCs/>
          <w:sz w:val="24"/>
          <w:szCs w:val="24"/>
        </w:rPr>
        <w:t>e2-291-450/2026</w:t>
      </w:r>
    </w:p>
    <w:p w14:paraId="38B9B3B9" w14:textId="77777777" w:rsidR="00513596" w:rsidRPr="00C856BD" w:rsidRDefault="00513596" w:rsidP="00C856BD"/>
    <w:p w14:paraId="6109F2F3" w14:textId="7F2D7E47" w:rsidR="00A010C8" w:rsidRDefault="00A010C8" w:rsidP="009A4F0C">
      <w:pPr>
        <w:pStyle w:val="Heading2"/>
        <w:numPr>
          <w:ilvl w:val="0"/>
          <w:numId w:val="13"/>
        </w:numPr>
        <w:spacing w:line="240" w:lineRule="auto"/>
        <w:jc w:val="both"/>
      </w:pPr>
      <w:bookmarkStart w:id="8" w:name="_Toc233882983"/>
      <w:r w:rsidRPr="00A010C8">
        <w:lastRenderedPageBreak/>
        <w:t xml:space="preserve">Dėl </w:t>
      </w:r>
      <w:r w:rsidR="009A4F0C" w:rsidRPr="009A4F0C">
        <w:t>turto pardavimo kainos</w:t>
      </w:r>
      <w:bookmarkEnd w:id="8"/>
    </w:p>
    <w:p w14:paraId="33698887" w14:textId="77777777" w:rsidR="008A7A3D" w:rsidRDefault="008A7A3D" w:rsidP="009A4F0C">
      <w:pPr>
        <w:spacing w:after="0" w:line="240" w:lineRule="auto"/>
      </w:pPr>
    </w:p>
    <w:p w14:paraId="5F68945C" w14:textId="201F83CF" w:rsidR="009A4F0C" w:rsidRPr="009C22C4" w:rsidRDefault="009C22C4" w:rsidP="009C22C4">
      <w:pPr>
        <w:spacing w:after="0" w:line="240" w:lineRule="auto"/>
        <w:ind w:firstLine="360"/>
        <w:jc w:val="both"/>
        <w:rPr>
          <w:rFonts w:asciiTheme="majorBidi" w:hAnsiTheme="majorBidi" w:cstheme="majorBidi"/>
          <w:sz w:val="24"/>
          <w:szCs w:val="24"/>
        </w:rPr>
      </w:pPr>
      <w:r w:rsidRPr="007673B8">
        <w:rPr>
          <w:rFonts w:asciiTheme="majorBidi" w:hAnsiTheme="majorBidi" w:cstheme="majorBidi"/>
          <w:i/>
          <w:iCs/>
          <w:sz w:val="24"/>
          <w:szCs w:val="24"/>
        </w:rPr>
        <w:t>Esminiu kainos skirtumu, kuris galėtų sudaryti pagrindą konstatuoti, kad turtas buvo parduotas už esmingai per mažą kainą, laikomas apie 30 proc. ir didesnis kainos skirtumas.</w:t>
      </w:r>
      <w:r w:rsidRPr="009C22C4">
        <w:rPr>
          <w:rFonts w:asciiTheme="majorBidi" w:hAnsiTheme="majorBidi" w:cstheme="majorBidi"/>
          <w:sz w:val="24"/>
          <w:szCs w:val="24"/>
        </w:rPr>
        <w:t xml:space="preserve"> Pažymėtina, kad kainos nustatymas ekspertinio tyrimo būdu nebūtinai reiškia, jog tokia kaina turtas ir bus parduotas rinkoje. Tikroji turto rinkos kaina yra nustatoma tik sudarius sandorį su geriausią kainą pasiūlysiančiu pirkėju, todėl vertinant kainų skirtumo (ne)esmingumą turi būti vadovaujamasi santykiniu kainos skirtingumo kriterijumi.</w:t>
      </w:r>
    </w:p>
    <w:p w14:paraId="38C37F94" w14:textId="77777777" w:rsidR="001B3B6D" w:rsidRDefault="001B3B6D" w:rsidP="005A2F67">
      <w:pPr>
        <w:spacing w:after="0"/>
        <w:jc w:val="both"/>
        <w:rPr>
          <w:rFonts w:asciiTheme="majorBidi" w:hAnsiTheme="majorBidi" w:cstheme="majorBidi"/>
          <w:i/>
          <w:iCs/>
          <w:sz w:val="24"/>
          <w:szCs w:val="24"/>
        </w:rPr>
      </w:pPr>
    </w:p>
    <w:p w14:paraId="3938C9AA" w14:textId="349FFF64" w:rsidR="00D1007D" w:rsidRDefault="00D1007D" w:rsidP="00D1007D">
      <w:pPr>
        <w:pBdr>
          <w:bottom w:val="dotted" w:sz="24" w:space="1" w:color="auto"/>
        </w:pBdr>
        <w:spacing w:after="0"/>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DB511C">
        <w:rPr>
          <w:rFonts w:asciiTheme="majorBidi" w:hAnsiTheme="majorBidi" w:cstheme="majorBidi"/>
          <w:i/>
          <w:iCs/>
          <w:sz w:val="24"/>
          <w:szCs w:val="24"/>
        </w:rPr>
        <w:t>balandžio</w:t>
      </w:r>
      <w:r w:rsidR="006479FC">
        <w:rPr>
          <w:rFonts w:asciiTheme="majorBidi" w:hAnsiTheme="majorBidi" w:cstheme="majorBidi"/>
          <w:i/>
          <w:iCs/>
          <w:sz w:val="24"/>
          <w:szCs w:val="24"/>
        </w:rPr>
        <w:t xml:space="preserve"> 2</w:t>
      </w:r>
      <w:r w:rsidRPr="00C63ECC">
        <w:rPr>
          <w:rFonts w:asciiTheme="majorBidi" w:hAnsiTheme="majorBidi" w:cstheme="majorBidi"/>
          <w:i/>
          <w:iCs/>
          <w:sz w:val="24"/>
          <w:szCs w:val="24"/>
        </w:rPr>
        <w:t xml:space="preserve"> d. nutartis, priimta civilinėje byloje Nr. </w:t>
      </w:r>
      <w:r w:rsidR="005A2F67" w:rsidRPr="005A2F67">
        <w:rPr>
          <w:rFonts w:asciiTheme="majorBidi" w:hAnsiTheme="majorBidi" w:cstheme="majorBidi"/>
          <w:i/>
          <w:iCs/>
          <w:sz w:val="24"/>
          <w:szCs w:val="24"/>
        </w:rPr>
        <w:t>e2A-84-567/2026</w:t>
      </w:r>
    </w:p>
    <w:p w14:paraId="4F1E6D8E" w14:textId="77777777" w:rsidR="00D1007D" w:rsidRDefault="00D1007D" w:rsidP="00D1007D">
      <w:pPr>
        <w:spacing w:after="0"/>
        <w:jc w:val="both"/>
        <w:rPr>
          <w:rFonts w:asciiTheme="majorBidi" w:hAnsiTheme="majorBidi" w:cstheme="majorBidi"/>
          <w:i/>
          <w:iCs/>
          <w:sz w:val="24"/>
          <w:szCs w:val="24"/>
        </w:rPr>
      </w:pPr>
    </w:p>
    <w:p w14:paraId="5FF0D427" w14:textId="77777777" w:rsidR="007E1840" w:rsidRDefault="007E1840" w:rsidP="007E1840">
      <w:pPr>
        <w:pStyle w:val="Heading2"/>
        <w:numPr>
          <w:ilvl w:val="0"/>
          <w:numId w:val="13"/>
        </w:numPr>
        <w:spacing w:line="240" w:lineRule="auto"/>
        <w:jc w:val="both"/>
      </w:pPr>
      <w:bookmarkStart w:id="9" w:name="_Toc233882984"/>
      <w:r w:rsidRPr="00A010C8">
        <w:t xml:space="preserve">Dėl </w:t>
      </w:r>
      <w:r>
        <w:t>restruktūrizavimo proceso veiksmingumo</w:t>
      </w:r>
      <w:bookmarkEnd w:id="9"/>
    </w:p>
    <w:p w14:paraId="5FF73D18" w14:textId="77777777" w:rsidR="007E1840" w:rsidRDefault="007E1840" w:rsidP="007E1840">
      <w:pPr>
        <w:pStyle w:val="Heading2"/>
        <w:spacing w:line="240" w:lineRule="auto"/>
        <w:ind w:left="720"/>
        <w:jc w:val="both"/>
      </w:pPr>
    </w:p>
    <w:p w14:paraId="11B0A6DD" w14:textId="77777777" w:rsidR="007E1840" w:rsidRDefault="007E1840" w:rsidP="007E1840">
      <w:pPr>
        <w:spacing w:after="0" w:line="240" w:lineRule="auto"/>
        <w:ind w:firstLine="360"/>
        <w:jc w:val="both"/>
        <w:rPr>
          <w:rFonts w:asciiTheme="majorBidi" w:hAnsiTheme="majorBidi" w:cstheme="majorBidi"/>
          <w:sz w:val="24"/>
          <w:szCs w:val="24"/>
        </w:rPr>
      </w:pPr>
      <w:r w:rsidRPr="00224D04">
        <w:rPr>
          <w:rFonts w:asciiTheme="majorBidi" w:hAnsiTheme="majorBidi" w:cstheme="majorBidi"/>
          <w:sz w:val="24"/>
          <w:szCs w:val="24"/>
        </w:rPr>
        <w:t>Vien debitorinių skolų atgavimas negali būti siejamas su restruktūrizavimo proceso tikslu išsaugoti bendrovės veiklą, sumokėti skolas kreditoriams ir atkurti bendrovės mokumą, taip išvengiant bankroto bylos iškėlimo. Restruktūrizavimo proceso veiksmingumas priklauso nuo juridinio asmens gyvybingumo, kuris pagal JANĮ 2 straipsnio 6 dalį yra juridinio asmens būsena, kai juridinis asmuo vykdo ūkinę komercinę veiklą, leisiančią jam vykdyti savo prievoles ateityje.</w:t>
      </w:r>
    </w:p>
    <w:p w14:paraId="40FE2EAC" w14:textId="68D19414" w:rsidR="007E1840" w:rsidRPr="00191EC9" w:rsidRDefault="007E1840" w:rsidP="007E1840">
      <w:pPr>
        <w:spacing w:after="0" w:line="240" w:lineRule="auto"/>
        <w:ind w:firstLine="360"/>
        <w:jc w:val="both"/>
        <w:rPr>
          <w:rFonts w:asciiTheme="majorBidi" w:hAnsiTheme="majorBidi" w:cstheme="majorBidi"/>
          <w:i/>
          <w:iCs/>
          <w:sz w:val="24"/>
          <w:szCs w:val="24"/>
        </w:rPr>
      </w:pPr>
      <w:proofErr w:type="spellStart"/>
      <w:r w:rsidRPr="00224D04">
        <w:rPr>
          <w:rFonts w:asciiTheme="majorBidi" w:hAnsiTheme="majorBidi" w:cstheme="majorBidi"/>
          <w:sz w:val="24"/>
          <w:szCs w:val="24"/>
        </w:rPr>
        <w:t>LAp</w:t>
      </w:r>
      <w:r w:rsidR="00D11E5F">
        <w:rPr>
          <w:rFonts w:asciiTheme="majorBidi" w:hAnsiTheme="majorBidi" w:cstheme="majorBidi"/>
          <w:sz w:val="24"/>
          <w:szCs w:val="24"/>
        </w:rPr>
        <w:t>T</w:t>
      </w:r>
      <w:proofErr w:type="spellEnd"/>
      <w:r w:rsidRPr="00224D04">
        <w:rPr>
          <w:rFonts w:asciiTheme="majorBidi" w:hAnsiTheme="majorBidi" w:cstheme="majorBidi"/>
          <w:sz w:val="24"/>
          <w:szCs w:val="24"/>
        </w:rPr>
        <w:t xml:space="preserve"> konstatuoja, kad toks </w:t>
      </w:r>
      <w:r w:rsidRPr="00191EC9">
        <w:rPr>
          <w:rFonts w:asciiTheme="majorBidi" w:hAnsiTheme="majorBidi" w:cstheme="majorBidi"/>
          <w:i/>
          <w:iCs/>
          <w:sz w:val="24"/>
          <w:szCs w:val="24"/>
        </w:rPr>
        <w:t xml:space="preserve">trumpalaikis turtas (debitorinės skolos) negali užtikrinti besąlygiško jo panaudojimo bendrovės įsipareigojimų mažinimui, t. y. turimas turtas nėra pakankamas finansiniams įsipareigojimams padengti. </w:t>
      </w:r>
    </w:p>
    <w:p w14:paraId="725153C6" w14:textId="77777777" w:rsidR="007E1840" w:rsidRDefault="007E1840" w:rsidP="007E1840">
      <w:pPr>
        <w:spacing w:after="0" w:line="240" w:lineRule="auto"/>
        <w:jc w:val="both"/>
        <w:rPr>
          <w:rFonts w:asciiTheme="majorBidi" w:hAnsiTheme="majorBidi" w:cstheme="majorBidi"/>
          <w:i/>
          <w:iCs/>
          <w:sz w:val="24"/>
          <w:szCs w:val="24"/>
        </w:rPr>
      </w:pPr>
    </w:p>
    <w:p w14:paraId="3507C439" w14:textId="77777777" w:rsidR="007E1840" w:rsidRDefault="007E1840" w:rsidP="007E1840">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Lietuvos apeliacinio teismo 2026 m.</w:t>
      </w:r>
      <w:r>
        <w:rPr>
          <w:rFonts w:asciiTheme="majorBidi" w:hAnsiTheme="majorBidi" w:cstheme="majorBidi"/>
          <w:i/>
          <w:iCs/>
          <w:sz w:val="24"/>
          <w:szCs w:val="24"/>
        </w:rPr>
        <w:t xml:space="preserve"> balandžio 16</w:t>
      </w:r>
      <w:r w:rsidRPr="00C63ECC">
        <w:rPr>
          <w:rFonts w:asciiTheme="majorBidi" w:hAnsiTheme="majorBidi" w:cstheme="majorBidi"/>
          <w:i/>
          <w:iCs/>
          <w:sz w:val="24"/>
          <w:szCs w:val="24"/>
        </w:rPr>
        <w:t xml:space="preserve"> d. nutartis, priimta civilinėje byloje Nr. </w:t>
      </w:r>
      <w:r w:rsidRPr="00422121">
        <w:rPr>
          <w:rFonts w:asciiTheme="majorBidi" w:hAnsiTheme="majorBidi" w:cstheme="majorBidi"/>
          <w:i/>
          <w:iCs/>
          <w:sz w:val="24"/>
          <w:szCs w:val="24"/>
        </w:rPr>
        <w:t>e2-343-798/2026</w:t>
      </w:r>
    </w:p>
    <w:p w14:paraId="34D3EDB4" w14:textId="77777777" w:rsidR="007E1840" w:rsidRPr="007E1840" w:rsidRDefault="007E1840" w:rsidP="007E1840">
      <w:pPr>
        <w:spacing w:after="0" w:line="240" w:lineRule="auto"/>
      </w:pPr>
    </w:p>
    <w:p w14:paraId="02840284" w14:textId="7342AD17" w:rsidR="005A2F67" w:rsidRDefault="005A2F67" w:rsidP="007E1840">
      <w:pPr>
        <w:pStyle w:val="Heading2"/>
        <w:numPr>
          <w:ilvl w:val="0"/>
          <w:numId w:val="13"/>
        </w:numPr>
        <w:spacing w:line="240" w:lineRule="auto"/>
        <w:jc w:val="both"/>
      </w:pPr>
      <w:bookmarkStart w:id="10" w:name="_Toc233882985"/>
      <w:r w:rsidRPr="00A010C8">
        <w:t xml:space="preserve">Dėl </w:t>
      </w:r>
      <w:r w:rsidR="00A5613B" w:rsidRPr="00A5613B">
        <w:t>juridinio asmens buveinės adres</w:t>
      </w:r>
      <w:r w:rsidR="00A5613B">
        <w:t>o išviešinimo</w:t>
      </w:r>
      <w:bookmarkEnd w:id="10"/>
    </w:p>
    <w:p w14:paraId="34B6155C" w14:textId="77777777" w:rsidR="005A2F67" w:rsidRDefault="005A2F67" w:rsidP="00A5613B">
      <w:pPr>
        <w:spacing w:after="0" w:line="240" w:lineRule="auto"/>
        <w:jc w:val="both"/>
        <w:rPr>
          <w:rFonts w:asciiTheme="majorBidi" w:hAnsiTheme="majorBidi" w:cstheme="majorBidi"/>
          <w:sz w:val="24"/>
          <w:szCs w:val="24"/>
        </w:rPr>
      </w:pPr>
    </w:p>
    <w:p w14:paraId="6C5A4851" w14:textId="588D0B2B" w:rsidR="00A5613B" w:rsidRDefault="009D0E58" w:rsidP="009D0E58">
      <w:pPr>
        <w:spacing w:after="0" w:line="240" w:lineRule="auto"/>
        <w:ind w:firstLine="567"/>
        <w:jc w:val="both"/>
        <w:rPr>
          <w:rFonts w:asciiTheme="majorBidi" w:hAnsiTheme="majorBidi" w:cstheme="majorBidi"/>
          <w:sz w:val="24"/>
          <w:szCs w:val="24"/>
        </w:rPr>
      </w:pPr>
      <w:proofErr w:type="spellStart"/>
      <w:r w:rsidRPr="009D0E58">
        <w:rPr>
          <w:rFonts w:asciiTheme="majorBidi" w:hAnsiTheme="majorBidi" w:cstheme="majorBidi"/>
          <w:sz w:val="24"/>
          <w:szCs w:val="24"/>
        </w:rPr>
        <w:t>LApT</w:t>
      </w:r>
      <w:proofErr w:type="spellEnd"/>
      <w:r w:rsidR="003524E3">
        <w:rPr>
          <w:rFonts w:asciiTheme="majorBidi" w:hAnsiTheme="majorBidi" w:cstheme="majorBidi"/>
          <w:sz w:val="24"/>
          <w:szCs w:val="24"/>
        </w:rPr>
        <w:t xml:space="preserve"> pažymėjo, kad </w:t>
      </w:r>
      <w:r w:rsidR="003524E3" w:rsidRPr="003524E3">
        <w:rPr>
          <w:rFonts w:asciiTheme="majorBidi" w:hAnsiTheme="majorBidi" w:cstheme="majorBidi"/>
          <w:sz w:val="24"/>
          <w:szCs w:val="24"/>
        </w:rPr>
        <w:t xml:space="preserve">tinkamai išviešinti juridinio asmens buveinės adresą yra bendrovės vadovo pareiga, kuriam gali būti taikoma civilinė atsakomybė, jei dėl netinkamo adreso kreditoriai patiria žalą. Juridinis asmuo turi ne tik atskleisti duomenis Juridinių asmenų registrui apie savo buveinę, bet ir pasirūpinti, kad jo buveinėje būtų sudarytos sąlygos priimti siunčiamą korespondenciją, taip pat ir procesinius dokumentus. </w:t>
      </w:r>
      <w:r w:rsidR="003524E3" w:rsidRPr="007673B8">
        <w:rPr>
          <w:rFonts w:asciiTheme="majorBidi" w:hAnsiTheme="majorBidi" w:cstheme="majorBidi"/>
          <w:i/>
          <w:iCs/>
          <w:sz w:val="24"/>
          <w:szCs w:val="24"/>
        </w:rPr>
        <w:t>Duomenų apie buveinės adresą neatnaujinimas Juridinių asmenų registre reiškia tai, kad juridinis asmuo elgiasi nerūpestingai ir sąmoningai prisiima riziką būti neinformuotam apie vykstantį teismo procesą ir kartu riziką prarasti teisę būti išklausytam. Juridinis asmuo prisiima visą atsakomybę už esminės informacijos visuomenei neatskleidimą ir neigiamus jos neatskleidimo padarinius.</w:t>
      </w:r>
    </w:p>
    <w:p w14:paraId="116B40B2" w14:textId="77777777" w:rsidR="005A2F67" w:rsidRDefault="005A2F67" w:rsidP="00A5613B">
      <w:pPr>
        <w:spacing w:after="0" w:line="240" w:lineRule="auto"/>
        <w:jc w:val="both"/>
        <w:rPr>
          <w:rFonts w:asciiTheme="majorBidi" w:hAnsiTheme="majorBidi" w:cstheme="majorBidi"/>
          <w:i/>
          <w:iCs/>
          <w:sz w:val="24"/>
          <w:szCs w:val="24"/>
        </w:rPr>
      </w:pPr>
    </w:p>
    <w:p w14:paraId="485E4AEE" w14:textId="59851618" w:rsidR="005A2F67" w:rsidRDefault="005A2F67" w:rsidP="00A5613B">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Pr>
          <w:rFonts w:asciiTheme="majorBidi" w:hAnsiTheme="majorBidi" w:cstheme="majorBidi"/>
          <w:i/>
          <w:iCs/>
          <w:sz w:val="24"/>
          <w:szCs w:val="24"/>
        </w:rPr>
        <w:t>balandžio 2</w:t>
      </w:r>
      <w:r w:rsidR="0028147B">
        <w:rPr>
          <w:rFonts w:asciiTheme="majorBidi" w:hAnsiTheme="majorBidi" w:cstheme="majorBidi"/>
          <w:i/>
          <w:iCs/>
          <w:sz w:val="24"/>
          <w:szCs w:val="24"/>
        </w:rPr>
        <w:t>3</w:t>
      </w:r>
      <w:r w:rsidRPr="00C63ECC">
        <w:rPr>
          <w:rFonts w:asciiTheme="majorBidi" w:hAnsiTheme="majorBidi" w:cstheme="majorBidi"/>
          <w:i/>
          <w:iCs/>
          <w:sz w:val="24"/>
          <w:szCs w:val="24"/>
        </w:rPr>
        <w:t xml:space="preserve"> d. nutartis, priimta civilinėje byloje Nr. </w:t>
      </w:r>
      <w:r w:rsidR="0028147B" w:rsidRPr="0028147B">
        <w:rPr>
          <w:rFonts w:asciiTheme="majorBidi" w:hAnsiTheme="majorBidi" w:cstheme="majorBidi"/>
          <w:i/>
          <w:iCs/>
          <w:sz w:val="24"/>
          <w:szCs w:val="24"/>
        </w:rPr>
        <w:t>e2-365-798/2026</w:t>
      </w:r>
    </w:p>
    <w:p w14:paraId="646D6480" w14:textId="77777777" w:rsidR="005A2F67" w:rsidRDefault="005A2F67" w:rsidP="00867077">
      <w:pPr>
        <w:spacing w:after="0" w:line="240" w:lineRule="auto"/>
        <w:jc w:val="both"/>
        <w:rPr>
          <w:rFonts w:asciiTheme="majorBidi" w:hAnsiTheme="majorBidi" w:cstheme="majorBidi"/>
          <w:i/>
          <w:iCs/>
          <w:sz w:val="24"/>
          <w:szCs w:val="24"/>
        </w:rPr>
      </w:pPr>
    </w:p>
    <w:p w14:paraId="4E84ADEB" w14:textId="645E4542" w:rsidR="005A2F67" w:rsidRDefault="005A2F67" w:rsidP="007E1840">
      <w:pPr>
        <w:pStyle w:val="Heading2"/>
        <w:numPr>
          <w:ilvl w:val="0"/>
          <w:numId w:val="13"/>
        </w:numPr>
        <w:spacing w:line="240" w:lineRule="auto"/>
        <w:jc w:val="both"/>
      </w:pPr>
      <w:bookmarkStart w:id="11" w:name="_Toc233882986"/>
      <w:r w:rsidRPr="00A010C8">
        <w:lastRenderedPageBreak/>
        <w:t xml:space="preserve">Dėl </w:t>
      </w:r>
      <w:r w:rsidR="00FA194D">
        <w:t xml:space="preserve">pradinės </w:t>
      </w:r>
      <w:r w:rsidR="007C4C91">
        <w:t xml:space="preserve">turto </w:t>
      </w:r>
      <w:r w:rsidR="00FA194D">
        <w:t xml:space="preserve">pardavimo kainos </w:t>
      </w:r>
      <w:r w:rsidR="007C4C91">
        <w:t>varžytynėse</w:t>
      </w:r>
      <w:bookmarkEnd w:id="11"/>
    </w:p>
    <w:p w14:paraId="2A141A87" w14:textId="4288650B" w:rsidR="00867077" w:rsidRPr="00024C55" w:rsidRDefault="00867077" w:rsidP="00867077">
      <w:pPr>
        <w:spacing w:before="100" w:beforeAutospacing="1" w:after="0" w:line="240" w:lineRule="auto"/>
        <w:ind w:firstLine="357"/>
        <w:jc w:val="both"/>
        <w:rPr>
          <w:rFonts w:ascii="Times New Roman" w:eastAsia="Times New Roman" w:hAnsi="Times New Roman" w:cs="Times New Roman"/>
          <w:i/>
          <w:iCs/>
          <w:sz w:val="24"/>
          <w:szCs w:val="24"/>
        </w:rPr>
      </w:pPr>
      <w:proofErr w:type="spellStart"/>
      <w:r>
        <w:rPr>
          <w:rFonts w:ascii="Times New Roman" w:eastAsia="Times New Roman" w:hAnsi="Times New Roman" w:cs="Times New Roman"/>
          <w:sz w:val="24"/>
          <w:szCs w:val="24"/>
        </w:rPr>
        <w:t>LAp</w:t>
      </w:r>
      <w:r w:rsidR="00D11E5F">
        <w:rPr>
          <w:rFonts w:ascii="Times New Roman" w:eastAsia="Times New Roman" w:hAnsi="Times New Roman" w:cs="Times New Roman"/>
          <w:sz w:val="24"/>
          <w:szCs w:val="24"/>
        </w:rPr>
        <w:t>T</w:t>
      </w:r>
      <w:proofErr w:type="spellEnd"/>
      <w:r>
        <w:rPr>
          <w:rFonts w:ascii="Times New Roman" w:eastAsia="Times New Roman" w:hAnsi="Times New Roman" w:cs="Times New Roman"/>
          <w:sz w:val="24"/>
          <w:szCs w:val="24"/>
        </w:rPr>
        <w:t xml:space="preserve"> pažymėj</w:t>
      </w:r>
      <w:r w:rsidR="00FA194D">
        <w:rPr>
          <w:rFonts w:ascii="Times New Roman" w:eastAsia="Times New Roman" w:hAnsi="Times New Roman" w:cs="Times New Roman"/>
          <w:sz w:val="24"/>
          <w:szCs w:val="24"/>
        </w:rPr>
        <w:t>o</w:t>
      </w:r>
      <w:r w:rsidRPr="00867077">
        <w:rPr>
          <w:rFonts w:ascii="Times New Roman" w:eastAsia="Times New Roman" w:hAnsi="Times New Roman" w:cs="Times New Roman"/>
          <w:sz w:val="24"/>
          <w:szCs w:val="24"/>
        </w:rPr>
        <w:t>, kad </w:t>
      </w:r>
      <w:r w:rsidRPr="002543B2">
        <w:rPr>
          <w:rFonts w:ascii="Times New Roman" w:eastAsia="Times New Roman" w:hAnsi="Times New Roman" w:cs="Times New Roman"/>
          <w:i/>
          <w:iCs/>
          <w:sz w:val="24"/>
          <w:szCs w:val="24"/>
        </w:rPr>
        <w:t>pradinės kainos nustatymas nelemia kainos, už kurią turtas realiai bus parduotas.</w:t>
      </w:r>
      <w:r w:rsidRPr="00867077">
        <w:rPr>
          <w:rFonts w:ascii="Times New Roman" w:eastAsia="Times New Roman" w:hAnsi="Times New Roman" w:cs="Times New Roman"/>
          <w:sz w:val="24"/>
          <w:szCs w:val="24"/>
        </w:rPr>
        <w:t> Netgi darant prielaidą, kad turto rinkos kaina, kuri ir bus pradine turto pardavimo kaina pirmosiose varžytynėse, yra per maža, rinka tokį menamą neatitikimą panaikins varžytynių dalyviams rungiantis dėl turto įsigijimo ir didinant siūlomą turto kainą. Taigi varžytynėse parduodamo turto kaina gali padidėti, jei parduodamas objektas yra patrauklus, norimas potencialiems pirkėjams, ir, atitinkamai, jei nustatyta pradinė kaina neatitinka realios rinkos kainos (nėra susidomėjimo, poreikio), turtas bus parduodamas už pasiūlytą mažesnę kainą turto pardavimo iš varžytynių metu. </w:t>
      </w:r>
      <w:r w:rsidRPr="00024C55">
        <w:rPr>
          <w:rFonts w:ascii="Times New Roman" w:eastAsia="Times New Roman" w:hAnsi="Times New Roman" w:cs="Times New Roman"/>
          <w:i/>
          <w:iCs/>
          <w:sz w:val="24"/>
          <w:szCs w:val="24"/>
        </w:rPr>
        <w:t>Be to, svarbu pažymėti ir tai, kad patys kreditoriai turi teisę skleisti informaciją apie turto pardavimą, informuoti potencialius pirkėjus apie parduodamą turtą, tokiu būdu užtikrindami suinteresuotų asmenų dalyvavimą parduodant turtą ir gaunant didžiausią įmanomą naudą.</w:t>
      </w:r>
    </w:p>
    <w:p w14:paraId="4B501849" w14:textId="77777777" w:rsidR="00867077" w:rsidRPr="00867077" w:rsidRDefault="00867077" w:rsidP="005A2F67">
      <w:pPr>
        <w:spacing w:after="0"/>
        <w:jc w:val="both"/>
        <w:rPr>
          <w:rFonts w:asciiTheme="majorBidi" w:hAnsiTheme="majorBidi" w:cstheme="majorBidi"/>
          <w:sz w:val="24"/>
          <w:szCs w:val="24"/>
        </w:rPr>
      </w:pPr>
    </w:p>
    <w:p w14:paraId="06E78285" w14:textId="3AA6DBDC" w:rsidR="005A2F67" w:rsidRDefault="005A2F67" w:rsidP="005A2F67">
      <w:pPr>
        <w:pBdr>
          <w:bottom w:val="dotted" w:sz="24" w:space="1" w:color="auto"/>
        </w:pBdr>
        <w:spacing w:after="0"/>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Pr>
          <w:rFonts w:asciiTheme="majorBidi" w:hAnsiTheme="majorBidi" w:cstheme="majorBidi"/>
          <w:i/>
          <w:iCs/>
          <w:sz w:val="24"/>
          <w:szCs w:val="24"/>
        </w:rPr>
        <w:t>balandžio 2</w:t>
      </w:r>
      <w:r w:rsidR="005854E9">
        <w:rPr>
          <w:rFonts w:asciiTheme="majorBidi" w:hAnsiTheme="majorBidi" w:cstheme="majorBidi"/>
          <w:i/>
          <w:iCs/>
          <w:sz w:val="24"/>
          <w:szCs w:val="24"/>
        </w:rPr>
        <w:t>8</w:t>
      </w:r>
      <w:r w:rsidRPr="00C63ECC">
        <w:rPr>
          <w:rFonts w:asciiTheme="majorBidi" w:hAnsiTheme="majorBidi" w:cstheme="majorBidi"/>
          <w:i/>
          <w:iCs/>
          <w:sz w:val="24"/>
          <w:szCs w:val="24"/>
        </w:rPr>
        <w:t xml:space="preserve"> d. nutartis, priimta civilinėje byloje Nr. </w:t>
      </w:r>
      <w:r w:rsidR="005854E9" w:rsidRPr="005854E9">
        <w:rPr>
          <w:rFonts w:asciiTheme="majorBidi" w:hAnsiTheme="majorBidi" w:cstheme="majorBidi"/>
          <w:i/>
          <w:iCs/>
          <w:sz w:val="24"/>
          <w:szCs w:val="24"/>
        </w:rPr>
        <w:t>e2-354-407/2026</w:t>
      </w:r>
    </w:p>
    <w:p w14:paraId="7A86DAF7" w14:textId="77777777" w:rsidR="005A2F67" w:rsidRDefault="005A2F67" w:rsidP="002C3F3E">
      <w:pPr>
        <w:spacing w:after="0" w:line="240" w:lineRule="auto"/>
        <w:jc w:val="both"/>
        <w:rPr>
          <w:rFonts w:asciiTheme="majorBidi" w:hAnsiTheme="majorBidi" w:cstheme="majorBidi"/>
          <w:i/>
          <w:iCs/>
          <w:sz w:val="24"/>
          <w:szCs w:val="24"/>
        </w:rPr>
      </w:pPr>
    </w:p>
    <w:p w14:paraId="7C9FA8D3" w14:textId="013EB701" w:rsidR="005A2F67" w:rsidRDefault="005A2F67" w:rsidP="007E1840">
      <w:pPr>
        <w:pStyle w:val="Heading2"/>
        <w:numPr>
          <w:ilvl w:val="0"/>
          <w:numId w:val="13"/>
        </w:numPr>
        <w:spacing w:line="240" w:lineRule="auto"/>
        <w:jc w:val="both"/>
      </w:pPr>
      <w:bookmarkStart w:id="12" w:name="_Toc233882987"/>
      <w:r w:rsidRPr="00A010C8">
        <w:t xml:space="preserve">Dėl </w:t>
      </w:r>
      <w:r w:rsidR="003F3655" w:rsidRPr="003F3655">
        <w:t>kreditorių finansinių reikalavimų pateikimo termin</w:t>
      </w:r>
      <w:r w:rsidR="003F3655">
        <w:t>o</w:t>
      </w:r>
      <w:bookmarkEnd w:id="12"/>
      <w:r w:rsidR="003F3655">
        <w:t xml:space="preserve"> </w:t>
      </w:r>
    </w:p>
    <w:p w14:paraId="4D3609AE" w14:textId="77777777" w:rsidR="003160CA" w:rsidRDefault="003160CA" w:rsidP="003160CA">
      <w:pPr>
        <w:spacing w:after="0" w:line="240" w:lineRule="auto"/>
        <w:rPr>
          <w:rFonts w:ascii="Times New Roman" w:eastAsia="Times New Roman" w:hAnsi="Times New Roman" w:cs="Times New Roman"/>
          <w:sz w:val="24"/>
          <w:szCs w:val="24"/>
        </w:rPr>
      </w:pPr>
    </w:p>
    <w:p w14:paraId="49A74F94" w14:textId="2EDF7270" w:rsidR="003160CA" w:rsidRDefault="003160CA" w:rsidP="003160CA">
      <w:pPr>
        <w:spacing w:after="0" w:line="240" w:lineRule="auto"/>
        <w:ind w:firstLine="360"/>
        <w:jc w:val="both"/>
        <w:rPr>
          <w:rFonts w:ascii="Times New Roman" w:eastAsia="Times New Roman" w:hAnsi="Times New Roman" w:cs="Times New Roman"/>
          <w:sz w:val="24"/>
          <w:szCs w:val="24"/>
        </w:rPr>
      </w:pPr>
      <w:r w:rsidRPr="003160CA">
        <w:rPr>
          <w:rFonts w:ascii="Times New Roman" w:eastAsia="Times New Roman" w:hAnsi="Times New Roman" w:cs="Times New Roman"/>
          <w:sz w:val="24"/>
          <w:szCs w:val="24"/>
        </w:rPr>
        <w:t xml:space="preserve">Įstatymų leidėjas kreditorių finansinių reikalavimų pateikimo terminą susiejo su nutarties iškelti bankroto bylą priežiūros institucijos AVNT interneto svetainėje paskelbimu. Taigi, </w:t>
      </w:r>
      <w:r w:rsidRPr="003B2F96">
        <w:rPr>
          <w:rFonts w:ascii="Times New Roman" w:eastAsia="Times New Roman" w:hAnsi="Times New Roman" w:cs="Times New Roman"/>
          <w:i/>
          <w:iCs/>
          <w:sz w:val="24"/>
          <w:szCs w:val="24"/>
        </w:rPr>
        <w:t>teismo nutarties iškelti bankroto bylą paskelbimo momentas yra atskaitos taškas, nuo kurio pradedamas skaičiuoti terminas kreditorių finansiniams reikalavimams pareikšti. Toks reguliavimas buvo pasirinktas, siekiant užtikrinti juridinio asmens bankroto proceso skaidrumą ir kreditorių bei kitų suinteresuotų asmenų interesų apsaugą, informavimą laiku, taip pat teisinį aiškumą ir nuoseklumą.</w:t>
      </w:r>
      <w:r w:rsidRPr="003160CA">
        <w:rPr>
          <w:rFonts w:ascii="Times New Roman" w:eastAsia="Times New Roman" w:hAnsi="Times New Roman" w:cs="Times New Roman"/>
          <w:sz w:val="24"/>
          <w:szCs w:val="24"/>
        </w:rPr>
        <w:t xml:space="preserve"> Tinkamas ir objektyvus teisės aktų nustatyta tvarka informacijos pateikimas apie bendrovę, kuriai iškelta bankroto byla, šių duomenų išviešinimas, sudaro prielaidas veiksmingam ir operatyviam bankroto procesui, taip pat užtikrinamos suinteresuotų asmenų teisės ir interesai.</w:t>
      </w:r>
    </w:p>
    <w:p w14:paraId="32A4CE03" w14:textId="0EB6E5B6" w:rsidR="003160CA" w:rsidRPr="003160CA" w:rsidRDefault="003160CA" w:rsidP="007620CE">
      <w:pPr>
        <w:spacing w:after="0" w:line="240" w:lineRule="auto"/>
        <w:ind w:firstLine="360"/>
        <w:jc w:val="both"/>
        <w:rPr>
          <w:rFonts w:ascii="Times New Roman" w:eastAsia="Times New Roman" w:hAnsi="Times New Roman" w:cs="Times New Roman"/>
          <w:sz w:val="24"/>
          <w:szCs w:val="24"/>
        </w:rPr>
      </w:pPr>
      <w:proofErr w:type="spellStart"/>
      <w:r w:rsidRPr="003160CA">
        <w:rPr>
          <w:rFonts w:ascii="Times New Roman" w:eastAsia="Times New Roman" w:hAnsi="Times New Roman" w:cs="Times New Roman"/>
          <w:sz w:val="24"/>
          <w:szCs w:val="24"/>
        </w:rPr>
        <w:t>LAp</w:t>
      </w:r>
      <w:r w:rsidR="008801AC">
        <w:rPr>
          <w:rFonts w:ascii="Times New Roman" w:eastAsia="Times New Roman" w:hAnsi="Times New Roman" w:cs="Times New Roman"/>
          <w:sz w:val="24"/>
          <w:szCs w:val="24"/>
        </w:rPr>
        <w:t>T</w:t>
      </w:r>
      <w:proofErr w:type="spellEnd"/>
      <w:r w:rsidRPr="003160CA">
        <w:rPr>
          <w:rFonts w:ascii="Times New Roman" w:eastAsia="Times New Roman" w:hAnsi="Times New Roman" w:cs="Times New Roman"/>
          <w:sz w:val="24"/>
          <w:szCs w:val="24"/>
        </w:rPr>
        <w:t xml:space="preserve"> pažymėjo, kad kreditorius, turintis reikalavimo teisę į skolininką, turi veikti sąžiningai, bendradarbiauti, kooperuotis, nes priežasčių, sudarančių pagrindą atnaujinti praleistą terminą finansiniam reikalavimui pareikšti, svarbumas yra siejamas su rūpestingumo pareiga domėtis asmens, kuriam ketinama pareikšti finansinį reikalavimą, turtine padėtimi.</w:t>
      </w:r>
    </w:p>
    <w:p w14:paraId="3F7AD239" w14:textId="77801C7B" w:rsidR="00077708" w:rsidRDefault="003160CA" w:rsidP="003160CA">
      <w:pPr>
        <w:spacing w:after="0" w:line="240" w:lineRule="auto"/>
        <w:ind w:firstLine="360"/>
        <w:jc w:val="both"/>
        <w:rPr>
          <w:rFonts w:ascii="Times New Roman" w:eastAsia="Times New Roman" w:hAnsi="Times New Roman" w:cs="Times New Roman"/>
          <w:sz w:val="24"/>
          <w:szCs w:val="24"/>
        </w:rPr>
      </w:pPr>
      <w:r w:rsidRPr="003160CA">
        <w:rPr>
          <w:rFonts w:ascii="Times New Roman" w:eastAsia="Times New Roman" w:hAnsi="Times New Roman" w:cs="Times New Roman"/>
          <w:sz w:val="24"/>
          <w:szCs w:val="24"/>
        </w:rPr>
        <w:t>Nors JANĮ 41 straipsnyje nustatytas terminas negali vienareikšmiškai eliminuoti kreditoriaus teisės įgyvendinti turimą reikalavimo teisę į skolininką vėliau (t. y. ir po JANĮ nustatyto termino praleidimo), tačiau tuo pačiu įstatyme nustatytas terminas negali būti ignoruojamas, nes šis terminas skirtas skatinti kreditorius operatyviai įgyvendinti savo teises ir siekti operatyvaus juridinio asmens bankroto proceso.</w:t>
      </w:r>
    </w:p>
    <w:p w14:paraId="79C95606" w14:textId="77777777" w:rsidR="003160CA" w:rsidRDefault="003160CA" w:rsidP="003160CA">
      <w:pPr>
        <w:spacing w:after="0" w:line="240" w:lineRule="auto"/>
        <w:jc w:val="both"/>
        <w:rPr>
          <w:rFonts w:asciiTheme="majorBidi" w:hAnsiTheme="majorBidi" w:cstheme="majorBidi"/>
          <w:i/>
          <w:iCs/>
          <w:sz w:val="24"/>
          <w:szCs w:val="24"/>
        </w:rPr>
      </w:pPr>
    </w:p>
    <w:p w14:paraId="141CAE20" w14:textId="0447C5AA" w:rsidR="005A2F67" w:rsidRDefault="005A2F67" w:rsidP="002C3F3E">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C34A35">
        <w:rPr>
          <w:rFonts w:asciiTheme="majorBidi" w:hAnsiTheme="majorBidi" w:cstheme="majorBidi"/>
          <w:i/>
          <w:iCs/>
          <w:sz w:val="24"/>
          <w:szCs w:val="24"/>
        </w:rPr>
        <w:t>gegužės 19</w:t>
      </w:r>
      <w:r w:rsidRPr="00C63ECC">
        <w:rPr>
          <w:rFonts w:asciiTheme="majorBidi" w:hAnsiTheme="majorBidi" w:cstheme="majorBidi"/>
          <w:i/>
          <w:iCs/>
          <w:sz w:val="24"/>
          <w:szCs w:val="24"/>
        </w:rPr>
        <w:t xml:space="preserve"> d. nutartis, priimta civilinėje byloje Nr. </w:t>
      </w:r>
      <w:r w:rsidR="00C34A35" w:rsidRPr="00C34A35">
        <w:rPr>
          <w:rFonts w:asciiTheme="majorBidi" w:hAnsiTheme="majorBidi" w:cstheme="majorBidi"/>
          <w:i/>
          <w:iCs/>
          <w:sz w:val="24"/>
          <w:szCs w:val="24"/>
        </w:rPr>
        <w:t>e2-417-567/2026</w:t>
      </w:r>
    </w:p>
    <w:p w14:paraId="2B50C4B0" w14:textId="77777777" w:rsidR="005A2F67" w:rsidRDefault="005A2F67" w:rsidP="005A2F67">
      <w:pPr>
        <w:spacing w:after="0"/>
        <w:jc w:val="both"/>
        <w:rPr>
          <w:rFonts w:asciiTheme="majorBidi" w:hAnsiTheme="majorBidi" w:cstheme="majorBidi"/>
          <w:i/>
          <w:iCs/>
          <w:sz w:val="24"/>
          <w:szCs w:val="24"/>
        </w:rPr>
      </w:pPr>
    </w:p>
    <w:p w14:paraId="5A0A1B34" w14:textId="77777777" w:rsidR="008801AC" w:rsidRDefault="008801AC" w:rsidP="005A2F67">
      <w:pPr>
        <w:spacing w:after="0"/>
        <w:jc w:val="both"/>
        <w:rPr>
          <w:rFonts w:asciiTheme="majorBidi" w:hAnsiTheme="majorBidi" w:cstheme="majorBidi"/>
          <w:i/>
          <w:iCs/>
          <w:sz w:val="24"/>
          <w:szCs w:val="24"/>
        </w:rPr>
      </w:pPr>
    </w:p>
    <w:p w14:paraId="52B8923F" w14:textId="77777777" w:rsidR="008801AC" w:rsidRDefault="008801AC" w:rsidP="005A2F67">
      <w:pPr>
        <w:spacing w:after="0"/>
        <w:jc w:val="both"/>
        <w:rPr>
          <w:rFonts w:asciiTheme="majorBidi" w:hAnsiTheme="majorBidi" w:cstheme="majorBidi"/>
          <w:i/>
          <w:iCs/>
          <w:sz w:val="24"/>
          <w:szCs w:val="24"/>
        </w:rPr>
      </w:pPr>
    </w:p>
    <w:p w14:paraId="3B3C6E0F" w14:textId="3F296E3D" w:rsidR="00A3769C" w:rsidRDefault="002C3F3E" w:rsidP="007E1840">
      <w:pPr>
        <w:pStyle w:val="Heading2"/>
        <w:numPr>
          <w:ilvl w:val="0"/>
          <w:numId w:val="13"/>
        </w:numPr>
        <w:spacing w:line="240" w:lineRule="auto"/>
        <w:jc w:val="both"/>
      </w:pPr>
      <w:bookmarkStart w:id="13" w:name="_Toc233882988"/>
      <w:r w:rsidRPr="00A010C8">
        <w:lastRenderedPageBreak/>
        <w:t xml:space="preserve">Dėl </w:t>
      </w:r>
      <w:r w:rsidR="00A3769C">
        <w:t>naujų įrodymų teikimo</w:t>
      </w:r>
      <w:bookmarkEnd w:id="13"/>
    </w:p>
    <w:p w14:paraId="73CC4911" w14:textId="77777777" w:rsidR="00A3769C" w:rsidRDefault="00A3769C" w:rsidP="00A3769C">
      <w:pPr>
        <w:spacing w:after="0" w:line="240" w:lineRule="auto"/>
      </w:pPr>
    </w:p>
    <w:p w14:paraId="60C126BB" w14:textId="59D47233" w:rsidR="00A3769C" w:rsidRPr="00A3769C" w:rsidRDefault="00A3769C" w:rsidP="00A3769C">
      <w:pPr>
        <w:spacing w:after="0" w:line="240" w:lineRule="auto"/>
        <w:ind w:firstLine="360"/>
        <w:jc w:val="both"/>
        <w:rPr>
          <w:rFonts w:asciiTheme="majorBidi" w:hAnsiTheme="majorBidi" w:cstheme="majorBidi"/>
          <w:sz w:val="24"/>
          <w:szCs w:val="24"/>
        </w:rPr>
      </w:pPr>
      <w:r w:rsidRPr="00A3769C">
        <w:rPr>
          <w:rFonts w:asciiTheme="majorBidi" w:hAnsiTheme="majorBidi" w:cstheme="majorBidi"/>
          <w:sz w:val="24"/>
          <w:szCs w:val="24"/>
        </w:rPr>
        <w:t xml:space="preserve">Proceso koncentruotumas ir ekonomiškumas (CPK 7 straipsnis) reikalauja, kad teismas ir byloje dalyvaujantys asmenys, siekdami išspręsti ginčą, bendradarbiautų, kad per įmanomai trumpiausią laiką būtų atkurtas civilinių santykių stabilumas. Todėl byloje dalyvaujantys asmenys turi būti aktyvūs rinkdami įrodymus, teikdami teismui prašymus ir reaguodami į byloje esančius reikalavimus. </w:t>
      </w:r>
      <w:r w:rsidRPr="00136BFC">
        <w:rPr>
          <w:rFonts w:asciiTheme="majorBidi" w:hAnsiTheme="majorBidi" w:cstheme="majorBidi"/>
          <w:i/>
          <w:iCs/>
          <w:sz w:val="24"/>
          <w:szCs w:val="24"/>
        </w:rPr>
        <w:t>Byloje dalyvaujantys asmenys turi būti aktyvūs viso proceso metu, o ne tada, kai byla baigiama nagrinėti ar yra priimamas jiems nepalankus sprendimas.</w:t>
      </w:r>
      <w:r w:rsidRPr="00A3769C">
        <w:rPr>
          <w:rFonts w:asciiTheme="majorBidi" w:hAnsiTheme="majorBidi" w:cstheme="majorBidi"/>
          <w:sz w:val="24"/>
          <w:szCs w:val="24"/>
        </w:rPr>
        <w:t xml:space="preserve"> Šiame kontekste taip pat pažymėtina, kad </w:t>
      </w:r>
      <w:r w:rsidRPr="00FA63DC">
        <w:rPr>
          <w:rFonts w:asciiTheme="majorBidi" w:hAnsiTheme="majorBidi" w:cstheme="majorBidi"/>
          <w:i/>
          <w:iCs/>
          <w:sz w:val="24"/>
          <w:szCs w:val="24"/>
        </w:rPr>
        <w:t>įrodymų pateikimo ribojimo</w:t>
      </w:r>
      <w:r w:rsidR="004A6DCF" w:rsidRPr="004A6DCF">
        <w:t xml:space="preserve"> </w:t>
      </w:r>
      <w:proofErr w:type="spellStart"/>
      <w:r w:rsidR="004A6DCF" w:rsidRPr="004A6DCF">
        <w:rPr>
          <w:rFonts w:asciiTheme="majorBidi" w:hAnsiTheme="majorBidi" w:cstheme="majorBidi"/>
          <w:i/>
          <w:iCs/>
          <w:sz w:val="24"/>
          <w:szCs w:val="24"/>
        </w:rPr>
        <w:t>LAp</w:t>
      </w:r>
      <w:r w:rsidR="008801AC">
        <w:rPr>
          <w:rFonts w:asciiTheme="majorBidi" w:hAnsiTheme="majorBidi" w:cstheme="majorBidi"/>
          <w:i/>
          <w:iCs/>
          <w:sz w:val="24"/>
          <w:szCs w:val="24"/>
        </w:rPr>
        <w:t>T</w:t>
      </w:r>
      <w:proofErr w:type="spellEnd"/>
      <w:r w:rsidRPr="00FA63DC">
        <w:rPr>
          <w:rFonts w:asciiTheme="majorBidi" w:hAnsiTheme="majorBidi" w:cstheme="majorBidi"/>
          <w:i/>
          <w:iCs/>
          <w:sz w:val="24"/>
          <w:szCs w:val="24"/>
        </w:rPr>
        <w:t xml:space="preserve"> vienas iš tikslų yra ir galimybės piktnaudžiauti procesu užkardymas, skatinant bylos dalyvius bylinėtis sąžiningai, atskleidžiant bylai reikšmingus duomenis pirmosios instancijos teisme, o ne sukuriant netikėtumus po pirmosios instancijos teismo sprendimo priėmimo.</w:t>
      </w:r>
      <w:r w:rsidRPr="00A3769C">
        <w:rPr>
          <w:rFonts w:asciiTheme="majorBidi" w:hAnsiTheme="majorBidi" w:cstheme="majorBidi"/>
          <w:sz w:val="24"/>
          <w:szCs w:val="24"/>
        </w:rPr>
        <w:t xml:space="preserve"> Taip yra užtikrinamas bylos šalių procesinio lygiateisiškumo (CPK 17 straipsnis) ir jau minėto proceso koncentruotumo principų įgyvendinimas.  </w:t>
      </w:r>
    </w:p>
    <w:p w14:paraId="78CFBFC6" w14:textId="77777777" w:rsidR="002C3F3E" w:rsidRDefault="002C3F3E" w:rsidP="002C3F3E">
      <w:pPr>
        <w:spacing w:after="0" w:line="240" w:lineRule="auto"/>
        <w:jc w:val="both"/>
        <w:rPr>
          <w:rFonts w:asciiTheme="majorBidi" w:hAnsiTheme="majorBidi" w:cstheme="majorBidi"/>
          <w:i/>
          <w:iCs/>
          <w:sz w:val="24"/>
          <w:szCs w:val="24"/>
        </w:rPr>
      </w:pPr>
    </w:p>
    <w:p w14:paraId="54FD07A3" w14:textId="7380F0FC" w:rsidR="002C3F3E" w:rsidRDefault="002C3F3E" w:rsidP="00364866">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364866">
        <w:rPr>
          <w:rFonts w:asciiTheme="majorBidi" w:hAnsiTheme="majorBidi" w:cstheme="majorBidi"/>
          <w:i/>
          <w:iCs/>
          <w:sz w:val="24"/>
          <w:szCs w:val="24"/>
        </w:rPr>
        <w:t>gegužės</w:t>
      </w:r>
      <w:r w:rsidRPr="00C63ECC">
        <w:rPr>
          <w:rFonts w:asciiTheme="majorBidi" w:hAnsiTheme="majorBidi" w:cstheme="majorBidi"/>
          <w:i/>
          <w:iCs/>
          <w:sz w:val="24"/>
          <w:szCs w:val="24"/>
        </w:rPr>
        <w:t xml:space="preserve"> </w:t>
      </w:r>
      <w:r w:rsidR="005347AB">
        <w:rPr>
          <w:rFonts w:asciiTheme="majorBidi" w:hAnsiTheme="majorBidi" w:cstheme="majorBidi"/>
          <w:i/>
          <w:iCs/>
          <w:sz w:val="24"/>
          <w:szCs w:val="24"/>
        </w:rPr>
        <w:t xml:space="preserve">21 </w:t>
      </w:r>
      <w:r w:rsidRPr="00C63ECC">
        <w:rPr>
          <w:rFonts w:asciiTheme="majorBidi" w:hAnsiTheme="majorBidi" w:cstheme="majorBidi"/>
          <w:i/>
          <w:iCs/>
          <w:sz w:val="24"/>
          <w:szCs w:val="24"/>
        </w:rPr>
        <w:t xml:space="preserve">d. nutartis, priimta civilinėje byloje Nr. </w:t>
      </w:r>
      <w:r w:rsidR="005347AB" w:rsidRPr="005347AB">
        <w:rPr>
          <w:rFonts w:asciiTheme="majorBidi" w:hAnsiTheme="majorBidi" w:cstheme="majorBidi"/>
          <w:i/>
          <w:iCs/>
          <w:sz w:val="24"/>
          <w:szCs w:val="24"/>
        </w:rPr>
        <w:t>e2A-159-464/2026</w:t>
      </w:r>
    </w:p>
    <w:p w14:paraId="627FE7CB" w14:textId="77777777" w:rsidR="00651A4C" w:rsidRDefault="00651A4C" w:rsidP="00651A4C">
      <w:pPr>
        <w:spacing w:after="0"/>
        <w:jc w:val="both"/>
        <w:rPr>
          <w:rFonts w:asciiTheme="majorBidi" w:hAnsiTheme="majorBidi" w:cstheme="majorBidi"/>
          <w:sz w:val="24"/>
          <w:szCs w:val="24"/>
        </w:rPr>
      </w:pPr>
    </w:p>
    <w:p w14:paraId="4A100F97" w14:textId="4BE80ECC" w:rsidR="002C3F3E" w:rsidRDefault="002C3F3E" w:rsidP="007E1840">
      <w:pPr>
        <w:pStyle w:val="Heading2"/>
        <w:numPr>
          <w:ilvl w:val="0"/>
          <w:numId w:val="13"/>
        </w:numPr>
        <w:spacing w:line="240" w:lineRule="auto"/>
        <w:jc w:val="both"/>
      </w:pPr>
      <w:bookmarkStart w:id="14" w:name="_Toc233882989"/>
      <w:r w:rsidRPr="00A010C8">
        <w:t xml:space="preserve">Dėl </w:t>
      </w:r>
      <w:r w:rsidR="004B1EF2" w:rsidRPr="004B1EF2">
        <w:t xml:space="preserve">pagrindo priteisti skolą iš </w:t>
      </w:r>
      <w:proofErr w:type="spellStart"/>
      <w:r w:rsidR="004B1EF2" w:rsidRPr="004B1EF2">
        <w:t>subsidiarios</w:t>
      </w:r>
      <w:proofErr w:type="spellEnd"/>
      <w:r w:rsidR="004B1EF2" w:rsidRPr="004B1EF2">
        <w:t xml:space="preserve"> atsakovės</w:t>
      </w:r>
      <w:r w:rsidR="004B1EF2">
        <w:t xml:space="preserve"> nemokumo administratorės</w:t>
      </w:r>
      <w:bookmarkEnd w:id="14"/>
    </w:p>
    <w:p w14:paraId="0096448A" w14:textId="7D6B2E3D" w:rsidR="004F0D05" w:rsidRDefault="003B0464" w:rsidP="004F0D05">
      <w:pPr>
        <w:spacing w:before="100" w:beforeAutospacing="1" w:after="0" w:line="240" w:lineRule="auto"/>
        <w:ind w:firstLine="360"/>
        <w:jc w:val="both"/>
        <w:rPr>
          <w:rFonts w:ascii="Times New Roman" w:eastAsia="Times New Roman" w:hAnsi="Times New Roman" w:cs="Times New Roman"/>
          <w:sz w:val="24"/>
          <w:szCs w:val="24"/>
        </w:rPr>
      </w:pPr>
      <w:r w:rsidRPr="003B0464">
        <w:rPr>
          <w:rFonts w:ascii="Times New Roman" w:eastAsia="Times New Roman" w:hAnsi="Times New Roman" w:cs="Times New Roman"/>
          <w:sz w:val="24"/>
          <w:szCs w:val="24"/>
        </w:rPr>
        <w:t xml:space="preserve">Nemokumo administratorės </w:t>
      </w:r>
      <w:proofErr w:type="spellStart"/>
      <w:r w:rsidRPr="003B0464">
        <w:rPr>
          <w:rFonts w:ascii="Times New Roman" w:eastAsia="Times New Roman" w:hAnsi="Times New Roman" w:cs="Times New Roman"/>
          <w:sz w:val="24"/>
          <w:szCs w:val="24"/>
        </w:rPr>
        <w:t>subsidiari</w:t>
      </w:r>
      <w:proofErr w:type="spellEnd"/>
      <w:r w:rsidRPr="003B0464">
        <w:rPr>
          <w:rFonts w:ascii="Times New Roman" w:eastAsia="Times New Roman" w:hAnsi="Times New Roman" w:cs="Times New Roman"/>
          <w:sz w:val="24"/>
          <w:szCs w:val="24"/>
        </w:rPr>
        <w:t> atsakomybė nekyla vien dėl to, kad ji administruoja bendrovę, kuri nėra įvykdžiusi sutartinės prievolės, ar dėl to, kad ji netinkamai atliko kai kuriuos su bendrovės bankroto administravimu susijusius veiksmus.</w:t>
      </w:r>
      <w:r w:rsidR="008B79F7">
        <w:rPr>
          <w:rFonts w:ascii="Times New Roman" w:eastAsia="Times New Roman" w:hAnsi="Times New Roman" w:cs="Times New Roman"/>
          <w:sz w:val="24"/>
          <w:szCs w:val="24"/>
        </w:rPr>
        <w:t xml:space="preserve"> </w:t>
      </w:r>
      <w:r w:rsidRPr="004F0D05">
        <w:rPr>
          <w:rFonts w:ascii="Times New Roman" w:eastAsia="Times New Roman" w:hAnsi="Times New Roman" w:cs="Times New Roman"/>
          <w:i/>
          <w:iCs/>
          <w:sz w:val="24"/>
          <w:szCs w:val="24"/>
        </w:rPr>
        <w:t>Nemokumo administratorės bankroto proceso administravimo metu skirstomų lėšų galimas (ne)turėjimas negali sukurti jai asmeninės atsakomybės už administruojamos bendrovės sudarytą sutartį.</w:t>
      </w:r>
      <w:r w:rsidRPr="003B0464">
        <w:rPr>
          <w:rFonts w:ascii="Times New Roman" w:eastAsia="Times New Roman" w:hAnsi="Times New Roman" w:cs="Times New Roman"/>
          <w:sz w:val="24"/>
          <w:szCs w:val="24"/>
        </w:rPr>
        <w:t> JANĮ 66 straipsnyje apibrėžtos nemokumo administratorės funkcijos ir teisės bankroto proceso metu, be kita ko, patenkinti kreditorių reikalavimus šio įstatymo nustatyta tvarka (JANĮ 66 straipsnio 1 dalies 12 punktas). Tačiau nemokumo administratorė taip pat turi teisę ginčyti, jos vertinimu, nepagrįstus kreditorių reikalavimus (JANĮ 66 straipsnio 1 dalies 9 punktas). Šiuo atveju ginčo sutarties šalys nesutarė dėl atliktų rangos darbų perdavimo, nepasirašius darbų perdavimo–priėmimo akto, todėl, atitinkamai, kilo ir atsiskaitymo už ginčijamus kreditorės reikalavimus klausimas</w:t>
      </w:r>
      <w:r w:rsidR="008B79F7">
        <w:rPr>
          <w:rFonts w:ascii="Times New Roman" w:eastAsia="Times New Roman" w:hAnsi="Times New Roman" w:cs="Times New Roman"/>
          <w:sz w:val="24"/>
          <w:szCs w:val="24"/>
        </w:rPr>
        <w:t>.</w:t>
      </w:r>
    </w:p>
    <w:p w14:paraId="50613181" w14:textId="77777777" w:rsidR="004F0D05" w:rsidRDefault="004F0D05" w:rsidP="004F0D05">
      <w:pPr>
        <w:pBdr>
          <w:bottom w:val="dotted" w:sz="24" w:space="1" w:color="auto"/>
        </w:pBdr>
        <w:spacing w:after="0" w:line="240" w:lineRule="auto"/>
        <w:jc w:val="both"/>
        <w:rPr>
          <w:rFonts w:ascii="Times New Roman" w:eastAsia="Times New Roman" w:hAnsi="Times New Roman" w:cs="Times New Roman"/>
          <w:sz w:val="24"/>
          <w:szCs w:val="24"/>
        </w:rPr>
      </w:pPr>
    </w:p>
    <w:p w14:paraId="010DF26A" w14:textId="09E1C7CC" w:rsidR="002C3F3E" w:rsidRDefault="002C3F3E" w:rsidP="004F0D05">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364866" w:rsidRPr="00364866">
        <w:rPr>
          <w:rFonts w:asciiTheme="majorBidi" w:hAnsiTheme="majorBidi" w:cstheme="majorBidi"/>
          <w:i/>
          <w:iCs/>
          <w:sz w:val="24"/>
          <w:szCs w:val="24"/>
        </w:rPr>
        <w:t>gegužės</w:t>
      </w:r>
      <w:r>
        <w:rPr>
          <w:rFonts w:asciiTheme="majorBidi" w:hAnsiTheme="majorBidi" w:cstheme="majorBidi"/>
          <w:i/>
          <w:iCs/>
          <w:sz w:val="24"/>
          <w:szCs w:val="24"/>
        </w:rPr>
        <w:t xml:space="preserve"> 2</w:t>
      </w:r>
      <w:r w:rsidR="004F0D05">
        <w:rPr>
          <w:rFonts w:asciiTheme="majorBidi" w:hAnsiTheme="majorBidi" w:cstheme="majorBidi"/>
          <w:i/>
          <w:iCs/>
          <w:sz w:val="24"/>
          <w:szCs w:val="24"/>
        </w:rPr>
        <w:t>1</w:t>
      </w:r>
      <w:r w:rsidRPr="00C63ECC">
        <w:rPr>
          <w:rFonts w:asciiTheme="majorBidi" w:hAnsiTheme="majorBidi" w:cstheme="majorBidi"/>
          <w:i/>
          <w:iCs/>
          <w:sz w:val="24"/>
          <w:szCs w:val="24"/>
        </w:rPr>
        <w:t xml:space="preserve"> d. nutartis, priimta civilinėje byloje Nr. </w:t>
      </w:r>
      <w:r w:rsidR="004F0D05" w:rsidRPr="004F0D05">
        <w:rPr>
          <w:rFonts w:asciiTheme="majorBidi" w:hAnsiTheme="majorBidi" w:cstheme="majorBidi"/>
          <w:i/>
          <w:iCs/>
          <w:sz w:val="24"/>
          <w:szCs w:val="24"/>
        </w:rPr>
        <w:t>e2A-159-464/2026</w:t>
      </w:r>
    </w:p>
    <w:p w14:paraId="35EC6CA0" w14:textId="77777777" w:rsidR="002C3F3E" w:rsidRDefault="002C3F3E" w:rsidP="00651A4C">
      <w:pPr>
        <w:spacing w:after="0"/>
        <w:jc w:val="both"/>
        <w:rPr>
          <w:rFonts w:asciiTheme="majorBidi" w:hAnsiTheme="majorBidi" w:cstheme="majorBidi"/>
          <w:sz w:val="24"/>
          <w:szCs w:val="24"/>
        </w:rPr>
      </w:pPr>
    </w:p>
    <w:p w14:paraId="1E4FF658" w14:textId="367AF341" w:rsidR="002C3F3E" w:rsidRDefault="002C3F3E" w:rsidP="007E1840">
      <w:pPr>
        <w:pStyle w:val="Heading2"/>
        <w:numPr>
          <w:ilvl w:val="0"/>
          <w:numId w:val="13"/>
        </w:numPr>
        <w:spacing w:line="240" w:lineRule="auto"/>
        <w:jc w:val="both"/>
      </w:pPr>
      <w:bookmarkStart w:id="15" w:name="_Toc233882990"/>
      <w:r w:rsidRPr="00A010C8">
        <w:t xml:space="preserve">Dėl </w:t>
      </w:r>
      <w:r w:rsidR="001E05A0" w:rsidRPr="001E05A0">
        <w:t>finansinio reikalavimo</w:t>
      </w:r>
      <w:bookmarkEnd w:id="15"/>
    </w:p>
    <w:p w14:paraId="7CAA622F" w14:textId="77777777" w:rsidR="002C3F3E" w:rsidRDefault="002C3F3E" w:rsidP="002C3F3E">
      <w:pPr>
        <w:spacing w:after="0" w:line="240" w:lineRule="auto"/>
        <w:jc w:val="both"/>
        <w:rPr>
          <w:rFonts w:asciiTheme="majorBidi" w:hAnsiTheme="majorBidi" w:cstheme="majorBidi"/>
          <w:i/>
          <w:iCs/>
          <w:sz w:val="24"/>
          <w:szCs w:val="24"/>
        </w:rPr>
      </w:pPr>
    </w:p>
    <w:p w14:paraId="26A40EB1" w14:textId="6CF59043" w:rsidR="001E05A0" w:rsidRDefault="00D43DB8" w:rsidP="00D43DB8">
      <w:pPr>
        <w:spacing w:after="0" w:line="240"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LAp</w:t>
      </w:r>
      <w:r w:rsidR="008801AC">
        <w:rPr>
          <w:rFonts w:asciiTheme="majorBidi" w:hAnsiTheme="majorBidi" w:cstheme="majorBidi"/>
          <w:sz w:val="24"/>
          <w:szCs w:val="24"/>
        </w:rPr>
        <w:t>T</w:t>
      </w:r>
      <w:proofErr w:type="spellEnd"/>
      <w:r>
        <w:rPr>
          <w:rFonts w:asciiTheme="majorBidi" w:hAnsiTheme="majorBidi" w:cstheme="majorBidi"/>
          <w:sz w:val="24"/>
          <w:szCs w:val="24"/>
        </w:rPr>
        <w:t xml:space="preserve"> teigė, kad</w:t>
      </w:r>
      <w:r w:rsidRPr="00D43DB8">
        <w:t xml:space="preserve"> </w:t>
      </w:r>
      <w:r w:rsidRPr="00D43DB8">
        <w:rPr>
          <w:rFonts w:asciiTheme="majorBidi" w:hAnsiTheme="majorBidi" w:cstheme="majorBidi"/>
          <w:sz w:val="24"/>
          <w:szCs w:val="24"/>
        </w:rPr>
        <w:t xml:space="preserve">įsiteisėjus nutarčiai iškelti juridiniam asmeniui bankroto bylą, bankrutuojančio juridinio asmens prievolės, atsiradusios iki nutarties iškelti juridiniam asmeniui bankroto bylą įsiteisėjimo, iš turimo turto vienam kreditoriui, pareiškusiam tiesioginį reikalavimą dėl prievolės įvykdymo, negali būti vykdomos, siekiant apsaugoti visų kreditorių interesus. Juridinio asmens turtas, tiek faktiškai valdomas bankroto bylos iškėlimo metu, tiek ir įgytas po bankroto bylos iškėlimo tampa visiems kreditoriams dalytinu turtu, t. y. toks juridinio asmens įgytas turtas naudojamas atsiskaityti su visais kreditoriais JANĮ nustatyta </w:t>
      </w:r>
      <w:r w:rsidRPr="00D43DB8">
        <w:rPr>
          <w:rFonts w:asciiTheme="majorBidi" w:hAnsiTheme="majorBidi" w:cstheme="majorBidi"/>
          <w:sz w:val="24"/>
          <w:szCs w:val="24"/>
        </w:rPr>
        <w:lastRenderedPageBreak/>
        <w:t xml:space="preserve">tvarka. Kitaip tariant, </w:t>
      </w:r>
      <w:r w:rsidRPr="00D43DB8">
        <w:rPr>
          <w:rFonts w:asciiTheme="majorBidi" w:hAnsiTheme="majorBidi" w:cstheme="majorBidi"/>
          <w:i/>
          <w:iCs/>
          <w:sz w:val="24"/>
          <w:szCs w:val="24"/>
        </w:rPr>
        <w:t>vieno konkretaus kreditoriaus interesas negali neproporcingai dominuoti ar net lemti situaciją, kai neatsižvelgiama į kitų su juridinio asmens bankroto procedūromis susijusių ir teisėtą interesą turinčių asmenų teises bei teisėtus interesus, susijusius su jų finansinių reikalavimų tenkinimu.</w:t>
      </w:r>
      <w:r w:rsidRPr="00D43DB8">
        <w:rPr>
          <w:rFonts w:asciiTheme="majorBidi" w:hAnsiTheme="majorBidi" w:cstheme="majorBidi"/>
          <w:sz w:val="24"/>
          <w:szCs w:val="24"/>
        </w:rPr>
        <w:t xml:space="preserve"> JANĮ imperatyviai ir konkrečiai nustato likviduojamo dėl bankroto juridinio asmens kreditorių finansinių reikalavimų tenkinimo iš juridinio asmens turto tvarką, eiliškumą ir etapus, taip užtikrinant visų juridinio asmens kreditorių lygybės principą.</w:t>
      </w:r>
    </w:p>
    <w:p w14:paraId="644E7F2F" w14:textId="77777777" w:rsidR="00D43DB8" w:rsidRPr="001E05A0" w:rsidRDefault="00D43DB8" w:rsidP="00D43DB8">
      <w:pPr>
        <w:spacing w:after="0" w:line="240" w:lineRule="auto"/>
        <w:ind w:firstLine="360"/>
        <w:jc w:val="both"/>
        <w:rPr>
          <w:rFonts w:asciiTheme="majorBidi" w:hAnsiTheme="majorBidi" w:cstheme="majorBidi"/>
          <w:sz w:val="24"/>
          <w:szCs w:val="24"/>
        </w:rPr>
      </w:pPr>
    </w:p>
    <w:p w14:paraId="2F85AB92" w14:textId="3812F38D" w:rsidR="002C3F3E" w:rsidRDefault="002C3F3E" w:rsidP="00364866">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364866" w:rsidRPr="00364866">
        <w:rPr>
          <w:rFonts w:asciiTheme="majorBidi" w:hAnsiTheme="majorBidi" w:cstheme="majorBidi"/>
          <w:i/>
          <w:iCs/>
          <w:sz w:val="24"/>
          <w:szCs w:val="24"/>
        </w:rPr>
        <w:t>gegužės</w:t>
      </w:r>
      <w:r>
        <w:rPr>
          <w:rFonts w:asciiTheme="majorBidi" w:hAnsiTheme="majorBidi" w:cstheme="majorBidi"/>
          <w:i/>
          <w:iCs/>
          <w:sz w:val="24"/>
          <w:szCs w:val="24"/>
        </w:rPr>
        <w:t xml:space="preserve"> </w:t>
      </w:r>
      <w:r w:rsidR="007C3CA2">
        <w:rPr>
          <w:rFonts w:asciiTheme="majorBidi" w:hAnsiTheme="majorBidi" w:cstheme="majorBidi"/>
          <w:i/>
          <w:iCs/>
          <w:sz w:val="24"/>
          <w:szCs w:val="24"/>
        </w:rPr>
        <w:t>21</w:t>
      </w:r>
      <w:r w:rsidRPr="00C63ECC">
        <w:rPr>
          <w:rFonts w:asciiTheme="majorBidi" w:hAnsiTheme="majorBidi" w:cstheme="majorBidi"/>
          <w:i/>
          <w:iCs/>
          <w:sz w:val="24"/>
          <w:szCs w:val="24"/>
        </w:rPr>
        <w:t xml:space="preserve"> d. nutartis, priimta civilinėje byloje Nr. </w:t>
      </w:r>
      <w:r w:rsidR="001F00E5" w:rsidRPr="001F00E5">
        <w:rPr>
          <w:rFonts w:asciiTheme="majorBidi" w:hAnsiTheme="majorBidi" w:cstheme="majorBidi"/>
          <w:i/>
          <w:iCs/>
          <w:sz w:val="24"/>
          <w:szCs w:val="24"/>
        </w:rPr>
        <w:t>e2-438-567/2026</w:t>
      </w:r>
    </w:p>
    <w:p w14:paraId="24DBAEAB" w14:textId="77777777" w:rsidR="002C3F3E" w:rsidRDefault="002C3F3E" w:rsidP="00651A4C">
      <w:pPr>
        <w:spacing w:after="0"/>
        <w:jc w:val="both"/>
        <w:rPr>
          <w:rFonts w:asciiTheme="majorBidi" w:hAnsiTheme="majorBidi" w:cstheme="majorBidi"/>
          <w:sz w:val="24"/>
          <w:szCs w:val="24"/>
        </w:rPr>
      </w:pPr>
    </w:p>
    <w:p w14:paraId="24C623BF" w14:textId="02D697AB" w:rsidR="002C3F3E" w:rsidRDefault="002C3F3E" w:rsidP="007E1840">
      <w:pPr>
        <w:pStyle w:val="Heading2"/>
        <w:numPr>
          <w:ilvl w:val="0"/>
          <w:numId w:val="13"/>
        </w:numPr>
        <w:spacing w:line="240" w:lineRule="auto"/>
        <w:jc w:val="both"/>
      </w:pPr>
      <w:bookmarkStart w:id="16" w:name="_Toc233882991"/>
      <w:r w:rsidRPr="00A010C8">
        <w:t xml:space="preserve">Dėl </w:t>
      </w:r>
      <w:r w:rsidR="005E2549">
        <w:t>žyminio mokesčio</w:t>
      </w:r>
      <w:bookmarkEnd w:id="16"/>
    </w:p>
    <w:p w14:paraId="62E730E0" w14:textId="1CEC2C23" w:rsidR="002C3F3E" w:rsidRPr="005E2549" w:rsidRDefault="005E2549" w:rsidP="00B616D2">
      <w:pPr>
        <w:spacing w:before="100" w:beforeAutospacing="1" w:after="100" w:afterAutospacing="1" w:line="240" w:lineRule="auto"/>
        <w:ind w:firstLine="360"/>
        <w:jc w:val="both"/>
        <w:rPr>
          <w:rFonts w:ascii="Times New Roman" w:eastAsia="Times New Roman" w:hAnsi="Times New Roman" w:cs="Times New Roman"/>
          <w:i/>
          <w:iCs/>
          <w:sz w:val="24"/>
          <w:szCs w:val="24"/>
        </w:rPr>
      </w:pPr>
      <w:r w:rsidRPr="005E2549">
        <w:rPr>
          <w:rFonts w:ascii="Times New Roman" w:eastAsia="Times New Roman" w:hAnsi="Times New Roman" w:cs="Times New Roman"/>
          <w:sz w:val="24"/>
          <w:szCs w:val="24"/>
        </w:rPr>
        <w:t xml:space="preserve">Apskaičiuojant kreditoriaus mokėtiną žyminį mokestį, įvertinama į tai, kad pagal Lietuvos Respublikos mokesčių administravimo įstatymo 66 straipsnio 4 dalį, jeigu įstatymai arba jų įgyvendinamieji teisės aktai nenustato kitaip, kiekviena piniginė prievolė apvalinama taip: 49 ir mažiau centų apvalinami mažinant (atmetant), 50 ir daugiau centų – didinant iki euro. Be to, atkreipiamas dėmesys į tai, kad </w:t>
      </w:r>
      <w:bookmarkStart w:id="17" w:name="n_46"/>
      <w:r w:rsidRPr="005E2549">
        <w:rPr>
          <w:rFonts w:ascii="Times New Roman" w:eastAsia="Times New Roman" w:hAnsi="Times New Roman" w:cs="Times New Roman"/>
          <w:sz w:val="24"/>
          <w:szCs w:val="24"/>
        </w:rPr>
        <w:t>CPK 80 straipsnio</w:t>
      </w:r>
      <w:bookmarkEnd w:id="17"/>
      <w:r w:rsidRPr="005E2549">
        <w:rPr>
          <w:rFonts w:ascii="Times New Roman" w:eastAsia="Times New Roman" w:hAnsi="Times New Roman" w:cs="Times New Roman"/>
          <w:sz w:val="24"/>
          <w:szCs w:val="24"/>
        </w:rPr>
        <w:t xml:space="preserve"> 7 dalyje nustatyta, jog šiame straipsnyje nurodytus procesinius dokumentus ir jų priedus pateikiant teismui tik elektroninių ryšių priemonėmis bei išreiškus pageidavimą procesinius dokumentus gauti tik šiomis priemonėmis, mokama 75 procentai už atitinkamą procesinį dokumentą mokėtinos žyminio mokesčio sumos, bet ne mažiau kaip penki eurai. Kadangi žyminio mokesčio indeksacijos tikslas – nekeičiant proceso įstatymo užtikrinti, kad žyminio mokesčio nuvertėjimas, susijęs su infliacija ir vartotojų kainų padidėjimu, būtų kompensuojamas, daroma išvada, jog prieš taikant </w:t>
      </w:r>
      <w:bookmarkStart w:id="18" w:name="n_47"/>
      <w:r w:rsidRPr="005E2549">
        <w:rPr>
          <w:rFonts w:ascii="Times New Roman" w:eastAsia="Times New Roman" w:hAnsi="Times New Roman" w:cs="Times New Roman"/>
          <w:sz w:val="24"/>
          <w:szCs w:val="24"/>
        </w:rPr>
        <w:t>CPK 80 straipsnio</w:t>
      </w:r>
      <w:bookmarkEnd w:id="18"/>
      <w:r w:rsidRPr="005E2549">
        <w:rPr>
          <w:rFonts w:ascii="Times New Roman" w:eastAsia="Times New Roman" w:hAnsi="Times New Roman" w:cs="Times New Roman"/>
          <w:sz w:val="24"/>
          <w:szCs w:val="24"/>
        </w:rPr>
        <w:t xml:space="preserve"> 7 dalyje reglamentuotą žyminio mokesčio lengvatas turi būti nustatytas atitinkamu metu mokėtinas žyminis mokestis, atsižvelgiant į jo nuvertėjimą. Todėl </w:t>
      </w:r>
      <w:bookmarkStart w:id="19" w:name="n_48"/>
      <w:r w:rsidRPr="005E2549">
        <w:rPr>
          <w:rFonts w:ascii="Times New Roman" w:eastAsia="Times New Roman" w:hAnsi="Times New Roman" w:cs="Times New Roman"/>
          <w:i/>
          <w:iCs/>
          <w:sz w:val="24"/>
          <w:szCs w:val="24"/>
        </w:rPr>
        <w:t>CPK 80 straipsnio</w:t>
      </w:r>
      <w:bookmarkEnd w:id="19"/>
      <w:r w:rsidRPr="005E2549">
        <w:rPr>
          <w:rFonts w:ascii="Times New Roman" w:eastAsia="Times New Roman" w:hAnsi="Times New Roman" w:cs="Times New Roman"/>
          <w:i/>
          <w:iCs/>
          <w:sz w:val="24"/>
          <w:szCs w:val="24"/>
        </w:rPr>
        <w:t xml:space="preserve"> 7 dalyje reglamentuota lengvata taikytina tik nustačius galutinį procesinio dokumento pateikimo metu mokėtiną žyminio mokesčio dydį (pirmiausia pritaikius žyminio mokesčio indeksaciją) bei jį suapvalinus nustatyta tvarka, kadangi už atitinkamą procesinį dokumentą mokėtino žyminio mokesčio suma iki lengvatų taikymo turi būti vienoda visais atvejais, t. y. kai yra pagrindas taikyti minėtą lengvatą ir kai tokių pagrindų nėra. </w:t>
      </w:r>
    </w:p>
    <w:p w14:paraId="5A4ADBE3" w14:textId="33DD31EB" w:rsidR="002C3F3E" w:rsidRDefault="002C3F3E" w:rsidP="00364866">
      <w:pPr>
        <w:pBdr>
          <w:bottom w:val="dotted" w:sz="24" w:space="1" w:color="auto"/>
        </w:pBdr>
        <w:spacing w:after="0" w:line="240" w:lineRule="auto"/>
        <w:jc w:val="both"/>
        <w:rPr>
          <w:rFonts w:asciiTheme="majorBidi" w:hAnsiTheme="majorBidi" w:cstheme="majorBidi"/>
          <w:i/>
          <w:iCs/>
          <w:sz w:val="24"/>
          <w:szCs w:val="24"/>
        </w:rPr>
      </w:pPr>
      <w:r w:rsidRPr="00C63ECC">
        <w:rPr>
          <w:rFonts w:asciiTheme="majorBidi" w:hAnsiTheme="majorBidi" w:cstheme="majorBidi"/>
          <w:i/>
          <w:iCs/>
          <w:sz w:val="24"/>
          <w:szCs w:val="24"/>
        </w:rPr>
        <w:t xml:space="preserve">Lietuvos apeliacinio teismo 2026 m. </w:t>
      </w:r>
      <w:r w:rsidR="00364866" w:rsidRPr="00364866">
        <w:rPr>
          <w:rFonts w:asciiTheme="majorBidi" w:hAnsiTheme="majorBidi" w:cstheme="majorBidi"/>
          <w:i/>
          <w:iCs/>
          <w:sz w:val="24"/>
          <w:szCs w:val="24"/>
        </w:rPr>
        <w:t>gegužės</w:t>
      </w:r>
      <w:r>
        <w:rPr>
          <w:rFonts w:asciiTheme="majorBidi" w:hAnsiTheme="majorBidi" w:cstheme="majorBidi"/>
          <w:i/>
          <w:iCs/>
          <w:sz w:val="24"/>
          <w:szCs w:val="24"/>
        </w:rPr>
        <w:t xml:space="preserve"> </w:t>
      </w:r>
      <w:r w:rsidR="00BD5A4D">
        <w:rPr>
          <w:rFonts w:asciiTheme="majorBidi" w:hAnsiTheme="majorBidi" w:cstheme="majorBidi"/>
          <w:i/>
          <w:iCs/>
          <w:sz w:val="24"/>
          <w:szCs w:val="24"/>
        </w:rPr>
        <w:t>28</w:t>
      </w:r>
      <w:r w:rsidRPr="00C63ECC">
        <w:rPr>
          <w:rFonts w:asciiTheme="majorBidi" w:hAnsiTheme="majorBidi" w:cstheme="majorBidi"/>
          <w:i/>
          <w:iCs/>
          <w:sz w:val="24"/>
          <w:szCs w:val="24"/>
        </w:rPr>
        <w:t xml:space="preserve"> d. nutartis, priimta civilinėje byloje Nr. </w:t>
      </w:r>
      <w:r w:rsidR="00EC492D" w:rsidRPr="00EC492D">
        <w:rPr>
          <w:rFonts w:asciiTheme="majorBidi" w:hAnsiTheme="majorBidi" w:cstheme="majorBidi"/>
          <w:i/>
          <w:iCs/>
          <w:sz w:val="24"/>
          <w:szCs w:val="24"/>
        </w:rPr>
        <w:t>e2-450-854/2026</w:t>
      </w:r>
    </w:p>
    <w:p w14:paraId="67B84F46" w14:textId="77777777" w:rsidR="002C3F3E" w:rsidRPr="005A2F67" w:rsidRDefault="002C3F3E" w:rsidP="00651A4C">
      <w:pPr>
        <w:spacing w:after="0"/>
        <w:jc w:val="both"/>
        <w:rPr>
          <w:rFonts w:asciiTheme="majorBidi" w:hAnsiTheme="majorBidi" w:cstheme="majorBidi"/>
          <w:sz w:val="24"/>
          <w:szCs w:val="24"/>
        </w:rPr>
      </w:pPr>
    </w:p>
    <w:p w14:paraId="32F04EEA" w14:textId="77777777" w:rsidR="00973DA0" w:rsidRPr="00AB7F95" w:rsidRDefault="00973DA0" w:rsidP="00315F03">
      <w:pPr>
        <w:rPr>
          <w:rFonts w:asciiTheme="majorBidi" w:hAnsiTheme="majorBidi" w:cstheme="majorBidi"/>
          <w:color w:val="000000" w:themeColor="text1"/>
          <w:sz w:val="20"/>
          <w:szCs w:val="20"/>
        </w:rPr>
      </w:pPr>
    </w:p>
    <w:p w14:paraId="46BA7693" w14:textId="77777777" w:rsidR="004639BA" w:rsidRDefault="004639BA" w:rsidP="00AB7F95">
      <w:pPr>
        <w:rPr>
          <w:rFonts w:asciiTheme="majorBidi" w:hAnsiTheme="majorBidi" w:cstheme="majorBidi"/>
          <w:i/>
          <w:iCs/>
          <w:color w:val="000000" w:themeColor="text1"/>
          <w:sz w:val="20"/>
          <w:szCs w:val="20"/>
        </w:rPr>
      </w:pPr>
    </w:p>
    <w:p w14:paraId="4E49A1C7" w14:textId="0BB02D13" w:rsidR="00AB7F95" w:rsidRPr="00F068F6" w:rsidRDefault="00AB7F95" w:rsidP="00AB7F95">
      <w:pPr>
        <w:rPr>
          <w:rFonts w:asciiTheme="majorBidi" w:hAnsiTheme="majorBidi" w:cstheme="majorBidi"/>
          <w:i/>
          <w:iCs/>
          <w:color w:val="000000" w:themeColor="text1"/>
          <w:sz w:val="20"/>
          <w:szCs w:val="20"/>
        </w:rPr>
      </w:pPr>
      <w:r w:rsidRPr="00F068F6">
        <w:rPr>
          <w:rFonts w:asciiTheme="majorBidi" w:hAnsiTheme="majorBidi" w:cstheme="majorBidi"/>
          <w:i/>
          <w:iCs/>
          <w:color w:val="000000" w:themeColor="text1"/>
          <w:sz w:val="20"/>
          <w:szCs w:val="20"/>
        </w:rPr>
        <w:t xml:space="preserve">Pateiktoje apžvalgoje naudoti šaltiniai: </w:t>
      </w:r>
    </w:p>
    <w:p w14:paraId="3D8B8516" w14:textId="48A787C2" w:rsidR="00AB7F95" w:rsidRPr="00F068F6" w:rsidRDefault="00AB7F95" w:rsidP="00AB7F95">
      <w:pPr>
        <w:rPr>
          <w:rFonts w:asciiTheme="majorBidi" w:hAnsiTheme="majorBidi" w:cstheme="majorBidi"/>
          <w:i/>
          <w:iCs/>
          <w:color w:val="000000" w:themeColor="text1"/>
          <w:sz w:val="20"/>
          <w:szCs w:val="20"/>
        </w:rPr>
      </w:pPr>
      <w:r w:rsidRPr="00F068F6">
        <w:rPr>
          <w:rFonts w:asciiTheme="majorBidi" w:hAnsiTheme="majorBidi" w:cstheme="majorBidi"/>
          <w:i/>
          <w:iCs/>
          <w:color w:val="000000" w:themeColor="text1"/>
          <w:sz w:val="20"/>
          <w:szCs w:val="20"/>
        </w:rPr>
        <w:t>1. Lietuvos Aukščiausias Teismas. Prieiga per internetą</w:t>
      </w:r>
      <w:r w:rsidR="005A226F">
        <w:rPr>
          <w:rFonts w:asciiTheme="majorBidi" w:hAnsiTheme="majorBidi" w:cstheme="majorBidi"/>
          <w:i/>
          <w:iCs/>
          <w:color w:val="000000" w:themeColor="text1"/>
          <w:sz w:val="20"/>
          <w:szCs w:val="20"/>
        </w:rPr>
        <w:t xml:space="preserve"> </w:t>
      </w:r>
      <w:hyperlink r:id="rId8" w:history="1">
        <w:r w:rsidR="00F068F6">
          <w:rPr>
            <w:rStyle w:val="Hyperlink"/>
            <w:rFonts w:asciiTheme="majorBidi" w:hAnsiTheme="majorBidi" w:cstheme="majorBidi"/>
            <w:i/>
            <w:iCs/>
            <w:sz w:val="20"/>
            <w:szCs w:val="20"/>
          </w:rPr>
          <w:t>čia</w:t>
        </w:r>
      </w:hyperlink>
      <w:r w:rsidR="00F068F6">
        <w:rPr>
          <w:rFonts w:asciiTheme="majorBidi" w:hAnsiTheme="majorBidi" w:cstheme="majorBidi"/>
          <w:i/>
          <w:iCs/>
          <w:color w:val="000000" w:themeColor="text1"/>
          <w:sz w:val="20"/>
          <w:szCs w:val="20"/>
        </w:rPr>
        <w:t xml:space="preserve"> </w:t>
      </w:r>
      <w:r w:rsidRPr="00F068F6">
        <w:rPr>
          <w:rFonts w:asciiTheme="majorBidi" w:hAnsiTheme="majorBidi" w:cstheme="majorBidi"/>
          <w:i/>
          <w:iCs/>
          <w:color w:val="000000" w:themeColor="text1"/>
          <w:sz w:val="20"/>
          <w:szCs w:val="20"/>
        </w:rPr>
        <w:t xml:space="preserve">. </w:t>
      </w:r>
    </w:p>
    <w:p w14:paraId="6E5A20A9" w14:textId="1F4E7A10" w:rsidR="00973DA0" w:rsidRPr="00225694" w:rsidRDefault="00AB7F95" w:rsidP="00225694">
      <w:pPr>
        <w:rPr>
          <w:rFonts w:asciiTheme="majorBidi" w:hAnsiTheme="majorBidi" w:cstheme="majorBidi"/>
          <w:i/>
          <w:iCs/>
          <w:color w:val="000000" w:themeColor="text1"/>
          <w:sz w:val="20"/>
          <w:szCs w:val="20"/>
        </w:rPr>
      </w:pPr>
      <w:r w:rsidRPr="00F068F6">
        <w:rPr>
          <w:rFonts w:asciiTheme="majorBidi" w:hAnsiTheme="majorBidi" w:cstheme="majorBidi"/>
          <w:i/>
          <w:iCs/>
          <w:color w:val="000000" w:themeColor="text1"/>
          <w:sz w:val="20"/>
          <w:szCs w:val="20"/>
        </w:rPr>
        <w:t>2. www.infolex.lt interneto svetainėje skelbiami teismų procesiniai sprendimai (mokama versija).</w:t>
      </w:r>
    </w:p>
    <w:sectPr w:rsidR="00973DA0" w:rsidRPr="00225694" w:rsidSect="007F4B04">
      <w:headerReference w:type="even" r:id="rId9"/>
      <w:headerReference w:type="default" r:id="rId10"/>
      <w:footerReference w:type="default" r:id="rId11"/>
      <w:headerReference w:type="first" r:id="rId12"/>
      <w:pgSz w:w="11906" w:h="16838"/>
      <w:pgMar w:top="1985" w:right="1440" w:bottom="1985"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F0A4" w14:textId="77777777" w:rsidR="009D2A94" w:rsidRDefault="009D2A94" w:rsidP="00CC3726">
      <w:pPr>
        <w:spacing w:after="0" w:line="240" w:lineRule="auto"/>
      </w:pPr>
      <w:r>
        <w:separator/>
      </w:r>
    </w:p>
  </w:endnote>
  <w:endnote w:type="continuationSeparator" w:id="0">
    <w:p w14:paraId="5FACCDC2" w14:textId="77777777" w:rsidR="009D2A94" w:rsidRDefault="009D2A94" w:rsidP="00CC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762052"/>
      <w:docPartObj>
        <w:docPartGallery w:val="Page Numbers (Bottom of Page)"/>
        <w:docPartUnique/>
      </w:docPartObj>
    </w:sdtPr>
    <w:sdtEndPr>
      <w:rPr>
        <w:rFonts w:asciiTheme="majorBidi" w:hAnsiTheme="majorBidi" w:cstheme="majorBidi"/>
      </w:rPr>
    </w:sdtEndPr>
    <w:sdtContent>
      <w:p w14:paraId="7FB0B114" w14:textId="359FD430" w:rsidR="00595447" w:rsidRPr="00595447" w:rsidRDefault="00595447">
        <w:pPr>
          <w:pStyle w:val="Footer"/>
          <w:jc w:val="right"/>
          <w:rPr>
            <w:rFonts w:asciiTheme="majorBidi" w:hAnsiTheme="majorBidi" w:cstheme="majorBidi"/>
          </w:rPr>
        </w:pPr>
        <w:r w:rsidRPr="00595447">
          <w:rPr>
            <w:rFonts w:asciiTheme="majorBidi" w:hAnsiTheme="majorBidi" w:cstheme="majorBidi"/>
          </w:rPr>
          <w:fldChar w:fldCharType="begin"/>
        </w:r>
        <w:r w:rsidRPr="00595447">
          <w:rPr>
            <w:rFonts w:asciiTheme="majorBidi" w:hAnsiTheme="majorBidi" w:cstheme="majorBidi"/>
          </w:rPr>
          <w:instrText>PAGE   \* MERGEFORMAT</w:instrText>
        </w:r>
        <w:r w:rsidRPr="00595447">
          <w:rPr>
            <w:rFonts w:asciiTheme="majorBidi" w:hAnsiTheme="majorBidi" w:cstheme="majorBidi"/>
          </w:rPr>
          <w:fldChar w:fldCharType="separate"/>
        </w:r>
        <w:r w:rsidRPr="00595447">
          <w:rPr>
            <w:rFonts w:asciiTheme="majorBidi" w:hAnsiTheme="majorBidi" w:cstheme="majorBidi"/>
          </w:rPr>
          <w:t>2</w:t>
        </w:r>
        <w:r w:rsidRPr="00595447">
          <w:rPr>
            <w:rFonts w:asciiTheme="majorBidi" w:hAnsiTheme="majorBidi" w:cstheme="majorBidi"/>
          </w:rPr>
          <w:fldChar w:fldCharType="end"/>
        </w:r>
      </w:p>
    </w:sdtContent>
  </w:sdt>
  <w:p w14:paraId="1F1EA23A" w14:textId="77777777" w:rsidR="00595447" w:rsidRDefault="00595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2CF0E" w14:textId="77777777" w:rsidR="009D2A94" w:rsidRDefault="009D2A94" w:rsidP="00CC3726">
      <w:pPr>
        <w:spacing w:after="0" w:line="240" w:lineRule="auto"/>
      </w:pPr>
      <w:r>
        <w:separator/>
      </w:r>
    </w:p>
  </w:footnote>
  <w:footnote w:type="continuationSeparator" w:id="0">
    <w:p w14:paraId="6FFFE5CE" w14:textId="77777777" w:rsidR="009D2A94" w:rsidRDefault="009D2A94" w:rsidP="00CC3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DDF5" w14:textId="77777777" w:rsidR="00CC3726" w:rsidRDefault="009D2A94">
    <w:pPr>
      <w:pStyle w:val="Header"/>
    </w:pPr>
    <w:r>
      <w:rPr>
        <w:noProof/>
        <w:lang w:val="en-US"/>
      </w:rPr>
      <w:pict w14:anchorId="68AD3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516376" o:spid="_x0000_s1035" type="#_x0000_t75" style="position:absolute;margin-left:0;margin-top:0;width:603.3pt;height:971.45pt;z-index:-251657216;mso-position-horizontal:center;mso-position-horizontal-relative:margin;mso-position-vertical:center;mso-position-vertical-relative:margin" o:allowincell="f">
          <v:imagedata r:id="rId1" o:title="redaguojamas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A8C7" w14:textId="74575486" w:rsidR="00CC3726" w:rsidRDefault="00995D8C">
    <w:pPr>
      <w:pStyle w:val="Header"/>
    </w:pPr>
    <w:r>
      <w:rPr>
        <w:noProof/>
      </w:rPr>
      <w:drawing>
        <wp:anchor distT="0" distB="0" distL="114300" distR="114300" simplePos="0" relativeHeight="251660288" behindDoc="1" locked="0" layoutInCell="1" allowOverlap="1" wp14:anchorId="55529715" wp14:editId="15DBBE2D">
          <wp:simplePos x="0" y="0"/>
          <wp:positionH relativeFrom="column">
            <wp:posOffset>-1104900</wp:posOffset>
          </wp:positionH>
          <wp:positionV relativeFrom="paragraph">
            <wp:posOffset>-1111159</wp:posOffset>
          </wp:positionV>
          <wp:extent cx="7895151" cy="1271149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95151" cy="127114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62C6" w14:textId="77777777" w:rsidR="00CC3726" w:rsidRDefault="009D2A94">
    <w:pPr>
      <w:pStyle w:val="Header"/>
    </w:pPr>
    <w:r>
      <w:rPr>
        <w:noProof/>
        <w:lang w:val="en-US"/>
      </w:rPr>
      <w:pict w14:anchorId="25B28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516375" o:spid="_x0000_s1034" type="#_x0000_t75" style="position:absolute;margin-left:0;margin-top:0;width:603.3pt;height:971.45pt;z-index:-251658240;mso-position-horizontal:center;mso-position-horizontal-relative:margin;mso-position-vertical:center;mso-position-vertical-relative:margin" o:allowincell="f">
          <v:imagedata r:id="rId1" o:title="redaguojamas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218"/>
    <w:multiLevelType w:val="hybridMultilevel"/>
    <w:tmpl w:val="7EAAC8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0F170A"/>
    <w:multiLevelType w:val="hybridMultilevel"/>
    <w:tmpl w:val="9B64E9C2"/>
    <w:lvl w:ilvl="0" w:tplc="F7924C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843754"/>
    <w:multiLevelType w:val="hybridMultilevel"/>
    <w:tmpl w:val="5172F1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DF302F"/>
    <w:multiLevelType w:val="hybridMultilevel"/>
    <w:tmpl w:val="57E8B6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B2B76ED"/>
    <w:multiLevelType w:val="hybridMultilevel"/>
    <w:tmpl w:val="D6003C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09354F"/>
    <w:multiLevelType w:val="hybridMultilevel"/>
    <w:tmpl w:val="E74016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DB39C9"/>
    <w:multiLevelType w:val="hybridMultilevel"/>
    <w:tmpl w:val="9AE4AA1C"/>
    <w:lvl w:ilvl="0" w:tplc="8070E0E6">
      <w:start w:val="2026"/>
      <w:numFmt w:val="decimal"/>
      <w:lvlText w:val="%1"/>
      <w:lvlJc w:val="left"/>
      <w:pPr>
        <w:ind w:left="1224" w:hanging="432"/>
      </w:pPr>
      <w:rPr>
        <w:rFonts w:hint="default"/>
      </w:rPr>
    </w:lvl>
    <w:lvl w:ilvl="1" w:tplc="04270019" w:tentative="1">
      <w:start w:val="1"/>
      <w:numFmt w:val="lowerLetter"/>
      <w:lvlText w:val="%2."/>
      <w:lvlJc w:val="left"/>
      <w:pPr>
        <w:ind w:left="1872" w:hanging="360"/>
      </w:pPr>
    </w:lvl>
    <w:lvl w:ilvl="2" w:tplc="0427001B" w:tentative="1">
      <w:start w:val="1"/>
      <w:numFmt w:val="lowerRoman"/>
      <w:lvlText w:val="%3."/>
      <w:lvlJc w:val="right"/>
      <w:pPr>
        <w:ind w:left="2592" w:hanging="180"/>
      </w:pPr>
    </w:lvl>
    <w:lvl w:ilvl="3" w:tplc="0427000F" w:tentative="1">
      <w:start w:val="1"/>
      <w:numFmt w:val="decimal"/>
      <w:lvlText w:val="%4."/>
      <w:lvlJc w:val="left"/>
      <w:pPr>
        <w:ind w:left="3312" w:hanging="360"/>
      </w:pPr>
    </w:lvl>
    <w:lvl w:ilvl="4" w:tplc="04270019" w:tentative="1">
      <w:start w:val="1"/>
      <w:numFmt w:val="lowerLetter"/>
      <w:lvlText w:val="%5."/>
      <w:lvlJc w:val="left"/>
      <w:pPr>
        <w:ind w:left="4032" w:hanging="360"/>
      </w:pPr>
    </w:lvl>
    <w:lvl w:ilvl="5" w:tplc="0427001B" w:tentative="1">
      <w:start w:val="1"/>
      <w:numFmt w:val="lowerRoman"/>
      <w:lvlText w:val="%6."/>
      <w:lvlJc w:val="right"/>
      <w:pPr>
        <w:ind w:left="4752" w:hanging="180"/>
      </w:pPr>
    </w:lvl>
    <w:lvl w:ilvl="6" w:tplc="0427000F" w:tentative="1">
      <w:start w:val="1"/>
      <w:numFmt w:val="decimal"/>
      <w:lvlText w:val="%7."/>
      <w:lvlJc w:val="left"/>
      <w:pPr>
        <w:ind w:left="5472" w:hanging="360"/>
      </w:pPr>
    </w:lvl>
    <w:lvl w:ilvl="7" w:tplc="04270019" w:tentative="1">
      <w:start w:val="1"/>
      <w:numFmt w:val="lowerLetter"/>
      <w:lvlText w:val="%8."/>
      <w:lvlJc w:val="left"/>
      <w:pPr>
        <w:ind w:left="6192" w:hanging="360"/>
      </w:pPr>
    </w:lvl>
    <w:lvl w:ilvl="8" w:tplc="0427001B" w:tentative="1">
      <w:start w:val="1"/>
      <w:numFmt w:val="lowerRoman"/>
      <w:lvlText w:val="%9."/>
      <w:lvlJc w:val="right"/>
      <w:pPr>
        <w:ind w:left="6912" w:hanging="180"/>
      </w:pPr>
    </w:lvl>
  </w:abstractNum>
  <w:abstractNum w:abstractNumId="7" w15:restartNumberingAfterBreak="0">
    <w:nsid w:val="287838E2"/>
    <w:multiLevelType w:val="hybridMultilevel"/>
    <w:tmpl w:val="A82E99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4C51E1"/>
    <w:multiLevelType w:val="hybridMultilevel"/>
    <w:tmpl w:val="00D656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FA39D6"/>
    <w:multiLevelType w:val="hybridMultilevel"/>
    <w:tmpl w:val="00D65646"/>
    <w:lvl w:ilvl="0" w:tplc="B2ACE79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B368CF"/>
    <w:multiLevelType w:val="hybridMultilevel"/>
    <w:tmpl w:val="A830E72A"/>
    <w:lvl w:ilvl="0" w:tplc="60B2E048">
      <w:start w:val="2026"/>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D52E71"/>
    <w:multiLevelType w:val="hybridMultilevel"/>
    <w:tmpl w:val="FD624C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6E15F3"/>
    <w:multiLevelType w:val="hybridMultilevel"/>
    <w:tmpl w:val="CDF861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3B6856"/>
    <w:multiLevelType w:val="hybridMultilevel"/>
    <w:tmpl w:val="E5D0E4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1C6129F"/>
    <w:multiLevelType w:val="hybridMultilevel"/>
    <w:tmpl w:val="E07A5D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CB48A3"/>
    <w:multiLevelType w:val="hybridMultilevel"/>
    <w:tmpl w:val="DBC0E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4F1837"/>
    <w:multiLevelType w:val="hybridMultilevel"/>
    <w:tmpl w:val="F086C3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427185D"/>
    <w:multiLevelType w:val="hybridMultilevel"/>
    <w:tmpl w:val="A70AC4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3A33FF"/>
    <w:multiLevelType w:val="hybridMultilevel"/>
    <w:tmpl w:val="C266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9F6FDA"/>
    <w:multiLevelType w:val="hybridMultilevel"/>
    <w:tmpl w:val="F0E4DA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6359C2"/>
    <w:multiLevelType w:val="hybridMultilevel"/>
    <w:tmpl w:val="78D4EB58"/>
    <w:lvl w:ilvl="0" w:tplc="34D05D5E">
      <w:start w:val="1"/>
      <w:numFmt w:val="decimal"/>
      <w:lvlText w:val="%1."/>
      <w:lvlJc w:val="left"/>
      <w:pPr>
        <w:ind w:left="720" w:hanging="360"/>
      </w:pPr>
      <w:rPr>
        <w:rFonts w:hint="default"/>
        <w:b/>
        <w:bCs/>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74F7D5F"/>
    <w:multiLevelType w:val="hybridMultilevel"/>
    <w:tmpl w:val="5DDADA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120012"/>
    <w:multiLevelType w:val="hybridMultilevel"/>
    <w:tmpl w:val="6D8AA1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487FF9"/>
    <w:multiLevelType w:val="multilevel"/>
    <w:tmpl w:val="9C20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FE4074"/>
    <w:multiLevelType w:val="hybridMultilevel"/>
    <w:tmpl w:val="51D4C1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42095163">
    <w:abstractNumId w:val="1"/>
  </w:num>
  <w:num w:numId="2" w16cid:durableId="837160519">
    <w:abstractNumId w:val="13"/>
  </w:num>
  <w:num w:numId="3" w16cid:durableId="1036274346">
    <w:abstractNumId w:val="24"/>
  </w:num>
  <w:num w:numId="4" w16cid:durableId="1484733872">
    <w:abstractNumId w:val="9"/>
  </w:num>
  <w:num w:numId="5" w16cid:durableId="37781307">
    <w:abstractNumId w:val="20"/>
  </w:num>
  <w:num w:numId="6" w16cid:durableId="848834490">
    <w:abstractNumId w:val="16"/>
  </w:num>
  <w:num w:numId="7" w16cid:durableId="1725988693">
    <w:abstractNumId w:val="2"/>
  </w:num>
  <w:num w:numId="8" w16cid:durableId="657733494">
    <w:abstractNumId w:val="23"/>
  </w:num>
  <w:num w:numId="9" w16cid:durableId="1602372993">
    <w:abstractNumId w:val="10"/>
  </w:num>
  <w:num w:numId="10" w16cid:durableId="1073746729">
    <w:abstractNumId w:val="6"/>
  </w:num>
  <w:num w:numId="11" w16cid:durableId="1632443624">
    <w:abstractNumId w:val="8"/>
  </w:num>
  <w:num w:numId="12" w16cid:durableId="202641633">
    <w:abstractNumId w:val="3"/>
  </w:num>
  <w:num w:numId="13" w16cid:durableId="801767922">
    <w:abstractNumId w:val="4"/>
  </w:num>
  <w:num w:numId="14" w16cid:durableId="143400455">
    <w:abstractNumId w:val="21"/>
  </w:num>
  <w:num w:numId="15" w16cid:durableId="181863837">
    <w:abstractNumId w:val="18"/>
  </w:num>
  <w:num w:numId="16" w16cid:durableId="1830902661">
    <w:abstractNumId w:val="22"/>
  </w:num>
  <w:num w:numId="17" w16cid:durableId="1720323297">
    <w:abstractNumId w:val="11"/>
  </w:num>
  <w:num w:numId="18" w16cid:durableId="1046299453">
    <w:abstractNumId w:val="19"/>
  </w:num>
  <w:num w:numId="19" w16cid:durableId="1119838056">
    <w:abstractNumId w:val="5"/>
  </w:num>
  <w:num w:numId="20" w16cid:durableId="991520081">
    <w:abstractNumId w:val="12"/>
  </w:num>
  <w:num w:numId="21" w16cid:durableId="197474207">
    <w:abstractNumId w:val="14"/>
  </w:num>
  <w:num w:numId="22" w16cid:durableId="1297176217">
    <w:abstractNumId w:val="15"/>
  </w:num>
  <w:num w:numId="23" w16cid:durableId="1580096740">
    <w:abstractNumId w:val="17"/>
  </w:num>
  <w:num w:numId="24" w16cid:durableId="1666855319">
    <w:abstractNumId w:val="7"/>
  </w:num>
  <w:num w:numId="25" w16cid:durableId="15080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726"/>
    <w:rsid w:val="00011860"/>
    <w:rsid w:val="000155B6"/>
    <w:rsid w:val="00015C84"/>
    <w:rsid w:val="00020A34"/>
    <w:rsid w:val="00024C55"/>
    <w:rsid w:val="0003033F"/>
    <w:rsid w:val="00070257"/>
    <w:rsid w:val="00073D06"/>
    <w:rsid w:val="00077708"/>
    <w:rsid w:val="00090F00"/>
    <w:rsid w:val="000A2D09"/>
    <w:rsid w:val="000B6EDC"/>
    <w:rsid w:val="000C4033"/>
    <w:rsid w:val="000C5E17"/>
    <w:rsid w:val="000D0FB9"/>
    <w:rsid w:val="000D4522"/>
    <w:rsid w:val="000D775F"/>
    <w:rsid w:val="000E320C"/>
    <w:rsid w:val="000F6E45"/>
    <w:rsid w:val="00102823"/>
    <w:rsid w:val="00110CDA"/>
    <w:rsid w:val="001154F9"/>
    <w:rsid w:val="00123A97"/>
    <w:rsid w:val="00136A88"/>
    <w:rsid w:val="00136BFC"/>
    <w:rsid w:val="00137137"/>
    <w:rsid w:val="00154770"/>
    <w:rsid w:val="00191EC9"/>
    <w:rsid w:val="001A79BA"/>
    <w:rsid w:val="001B3B6D"/>
    <w:rsid w:val="001B5999"/>
    <w:rsid w:val="001C0BED"/>
    <w:rsid w:val="001C125F"/>
    <w:rsid w:val="001C172C"/>
    <w:rsid w:val="001C6592"/>
    <w:rsid w:val="001C71C4"/>
    <w:rsid w:val="001D2628"/>
    <w:rsid w:val="001E05A0"/>
    <w:rsid w:val="001E42D6"/>
    <w:rsid w:val="001F00E5"/>
    <w:rsid w:val="001F114F"/>
    <w:rsid w:val="001F1A4E"/>
    <w:rsid w:val="001F707A"/>
    <w:rsid w:val="0021080E"/>
    <w:rsid w:val="00224D04"/>
    <w:rsid w:val="00225694"/>
    <w:rsid w:val="002271E7"/>
    <w:rsid w:val="0023121B"/>
    <w:rsid w:val="00233583"/>
    <w:rsid w:val="00244DE1"/>
    <w:rsid w:val="002506CD"/>
    <w:rsid w:val="002543B2"/>
    <w:rsid w:val="00260230"/>
    <w:rsid w:val="00261362"/>
    <w:rsid w:val="00267FEB"/>
    <w:rsid w:val="00273658"/>
    <w:rsid w:val="002751D6"/>
    <w:rsid w:val="0028147B"/>
    <w:rsid w:val="00283CD2"/>
    <w:rsid w:val="002866E9"/>
    <w:rsid w:val="0029059E"/>
    <w:rsid w:val="002C3F3E"/>
    <w:rsid w:val="002D00BB"/>
    <w:rsid w:val="002F3563"/>
    <w:rsid w:val="002F4995"/>
    <w:rsid w:val="00303458"/>
    <w:rsid w:val="00315F03"/>
    <w:rsid w:val="003160CA"/>
    <w:rsid w:val="00323419"/>
    <w:rsid w:val="003255EF"/>
    <w:rsid w:val="003341B3"/>
    <w:rsid w:val="003524E3"/>
    <w:rsid w:val="003532C1"/>
    <w:rsid w:val="0035362A"/>
    <w:rsid w:val="00355F53"/>
    <w:rsid w:val="00360920"/>
    <w:rsid w:val="00364866"/>
    <w:rsid w:val="00381E74"/>
    <w:rsid w:val="003B0464"/>
    <w:rsid w:val="003B2F96"/>
    <w:rsid w:val="003C3627"/>
    <w:rsid w:val="003E6555"/>
    <w:rsid w:val="003F3655"/>
    <w:rsid w:val="003F7B52"/>
    <w:rsid w:val="00401D5B"/>
    <w:rsid w:val="00404053"/>
    <w:rsid w:val="00405330"/>
    <w:rsid w:val="0041385E"/>
    <w:rsid w:val="00422121"/>
    <w:rsid w:val="00422E2C"/>
    <w:rsid w:val="00432FF8"/>
    <w:rsid w:val="00437239"/>
    <w:rsid w:val="004429E2"/>
    <w:rsid w:val="004541BB"/>
    <w:rsid w:val="0046059F"/>
    <w:rsid w:val="004639BA"/>
    <w:rsid w:val="0047020B"/>
    <w:rsid w:val="00475FAA"/>
    <w:rsid w:val="0047681C"/>
    <w:rsid w:val="004770EC"/>
    <w:rsid w:val="0047722B"/>
    <w:rsid w:val="00484896"/>
    <w:rsid w:val="004871B1"/>
    <w:rsid w:val="00487FE7"/>
    <w:rsid w:val="0049675A"/>
    <w:rsid w:val="004A35BE"/>
    <w:rsid w:val="004A6DCF"/>
    <w:rsid w:val="004B1EF2"/>
    <w:rsid w:val="004B448F"/>
    <w:rsid w:val="004B77BC"/>
    <w:rsid w:val="004B7BB7"/>
    <w:rsid w:val="004C2836"/>
    <w:rsid w:val="004C4741"/>
    <w:rsid w:val="004D5C03"/>
    <w:rsid w:val="004E47AF"/>
    <w:rsid w:val="004E6275"/>
    <w:rsid w:val="004F0D05"/>
    <w:rsid w:val="005067D8"/>
    <w:rsid w:val="00507DF1"/>
    <w:rsid w:val="00513596"/>
    <w:rsid w:val="005233CE"/>
    <w:rsid w:val="00524EB2"/>
    <w:rsid w:val="00525997"/>
    <w:rsid w:val="00530E1A"/>
    <w:rsid w:val="005347AB"/>
    <w:rsid w:val="005352E1"/>
    <w:rsid w:val="005443FF"/>
    <w:rsid w:val="00555AA1"/>
    <w:rsid w:val="00557088"/>
    <w:rsid w:val="00581638"/>
    <w:rsid w:val="005854E9"/>
    <w:rsid w:val="00595447"/>
    <w:rsid w:val="005A226F"/>
    <w:rsid w:val="005A2F67"/>
    <w:rsid w:val="005A7D5A"/>
    <w:rsid w:val="005B0430"/>
    <w:rsid w:val="005D2A0F"/>
    <w:rsid w:val="005E0728"/>
    <w:rsid w:val="005E15C8"/>
    <w:rsid w:val="005E2549"/>
    <w:rsid w:val="005E7182"/>
    <w:rsid w:val="005F5A35"/>
    <w:rsid w:val="005F7E1F"/>
    <w:rsid w:val="00600D66"/>
    <w:rsid w:val="00601B65"/>
    <w:rsid w:val="00615327"/>
    <w:rsid w:val="00636F14"/>
    <w:rsid w:val="00641186"/>
    <w:rsid w:val="00643873"/>
    <w:rsid w:val="00644D2D"/>
    <w:rsid w:val="00646A01"/>
    <w:rsid w:val="006479FC"/>
    <w:rsid w:val="00650F36"/>
    <w:rsid w:val="00651A4C"/>
    <w:rsid w:val="006553DC"/>
    <w:rsid w:val="00657595"/>
    <w:rsid w:val="0066316C"/>
    <w:rsid w:val="00665A41"/>
    <w:rsid w:val="00681A48"/>
    <w:rsid w:val="00684448"/>
    <w:rsid w:val="00685E38"/>
    <w:rsid w:val="006B7562"/>
    <w:rsid w:val="006D7CF2"/>
    <w:rsid w:val="006E331F"/>
    <w:rsid w:val="006E5775"/>
    <w:rsid w:val="006E5C92"/>
    <w:rsid w:val="006F0001"/>
    <w:rsid w:val="006F567B"/>
    <w:rsid w:val="00700A8B"/>
    <w:rsid w:val="00705DF0"/>
    <w:rsid w:val="00717E65"/>
    <w:rsid w:val="00735979"/>
    <w:rsid w:val="00743A3D"/>
    <w:rsid w:val="00747091"/>
    <w:rsid w:val="00747785"/>
    <w:rsid w:val="00747987"/>
    <w:rsid w:val="007620CE"/>
    <w:rsid w:val="00765E1F"/>
    <w:rsid w:val="007673B8"/>
    <w:rsid w:val="007679C8"/>
    <w:rsid w:val="00777EE3"/>
    <w:rsid w:val="00785237"/>
    <w:rsid w:val="00790B88"/>
    <w:rsid w:val="00790C82"/>
    <w:rsid w:val="00792A6C"/>
    <w:rsid w:val="007966C9"/>
    <w:rsid w:val="007A7E4B"/>
    <w:rsid w:val="007B00F1"/>
    <w:rsid w:val="007B69C3"/>
    <w:rsid w:val="007C3CA2"/>
    <w:rsid w:val="007C4C91"/>
    <w:rsid w:val="007D68D9"/>
    <w:rsid w:val="007E1840"/>
    <w:rsid w:val="007F3637"/>
    <w:rsid w:val="007F4B04"/>
    <w:rsid w:val="0081098D"/>
    <w:rsid w:val="0081759E"/>
    <w:rsid w:val="00827A76"/>
    <w:rsid w:val="00843651"/>
    <w:rsid w:val="008518A9"/>
    <w:rsid w:val="00854E40"/>
    <w:rsid w:val="00867077"/>
    <w:rsid w:val="008801AC"/>
    <w:rsid w:val="0088602B"/>
    <w:rsid w:val="008951D3"/>
    <w:rsid w:val="008A7A3D"/>
    <w:rsid w:val="008B2351"/>
    <w:rsid w:val="008B79F7"/>
    <w:rsid w:val="008C7E0F"/>
    <w:rsid w:val="00927E2E"/>
    <w:rsid w:val="00931C4F"/>
    <w:rsid w:val="00951BD6"/>
    <w:rsid w:val="00956850"/>
    <w:rsid w:val="00973DA0"/>
    <w:rsid w:val="00980D2A"/>
    <w:rsid w:val="00991521"/>
    <w:rsid w:val="0099452D"/>
    <w:rsid w:val="00995D8C"/>
    <w:rsid w:val="00996459"/>
    <w:rsid w:val="00996891"/>
    <w:rsid w:val="009976AA"/>
    <w:rsid w:val="009A4F0C"/>
    <w:rsid w:val="009C22C4"/>
    <w:rsid w:val="009D0E58"/>
    <w:rsid w:val="009D2A94"/>
    <w:rsid w:val="009D51A3"/>
    <w:rsid w:val="009E7312"/>
    <w:rsid w:val="009F15B0"/>
    <w:rsid w:val="00A010C8"/>
    <w:rsid w:val="00A02797"/>
    <w:rsid w:val="00A11C19"/>
    <w:rsid w:val="00A3340A"/>
    <w:rsid w:val="00A36E33"/>
    <w:rsid w:val="00A3769C"/>
    <w:rsid w:val="00A5437E"/>
    <w:rsid w:val="00A5613B"/>
    <w:rsid w:val="00A756D4"/>
    <w:rsid w:val="00A75E72"/>
    <w:rsid w:val="00A815DA"/>
    <w:rsid w:val="00AA2E61"/>
    <w:rsid w:val="00AB1523"/>
    <w:rsid w:val="00AB7F95"/>
    <w:rsid w:val="00AC1E4E"/>
    <w:rsid w:val="00AD0AD9"/>
    <w:rsid w:val="00AD1319"/>
    <w:rsid w:val="00AE63FD"/>
    <w:rsid w:val="00AF25BA"/>
    <w:rsid w:val="00B056EC"/>
    <w:rsid w:val="00B355E0"/>
    <w:rsid w:val="00B36258"/>
    <w:rsid w:val="00B50A56"/>
    <w:rsid w:val="00B561C7"/>
    <w:rsid w:val="00B616D2"/>
    <w:rsid w:val="00B767ED"/>
    <w:rsid w:val="00B86817"/>
    <w:rsid w:val="00B92783"/>
    <w:rsid w:val="00B95B85"/>
    <w:rsid w:val="00B9659A"/>
    <w:rsid w:val="00BD1E44"/>
    <w:rsid w:val="00BD5A4D"/>
    <w:rsid w:val="00BE2756"/>
    <w:rsid w:val="00BE7B5C"/>
    <w:rsid w:val="00C0152D"/>
    <w:rsid w:val="00C05943"/>
    <w:rsid w:val="00C16DF9"/>
    <w:rsid w:val="00C25F08"/>
    <w:rsid w:val="00C266AC"/>
    <w:rsid w:val="00C347FD"/>
    <w:rsid w:val="00C34A35"/>
    <w:rsid w:val="00C4439F"/>
    <w:rsid w:val="00C474C8"/>
    <w:rsid w:val="00C5236D"/>
    <w:rsid w:val="00C5642A"/>
    <w:rsid w:val="00C673EF"/>
    <w:rsid w:val="00C856BD"/>
    <w:rsid w:val="00C949AE"/>
    <w:rsid w:val="00CA0598"/>
    <w:rsid w:val="00CA0DB5"/>
    <w:rsid w:val="00CA2B77"/>
    <w:rsid w:val="00CC3726"/>
    <w:rsid w:val="00CC4F86"/>
    <w:rsid w:val="00CD629E"/>
    <w:rsid w:val="00CE67A6"/>
    <w:rsid w:val="00CE67F9"/>
    <w:rsid w:val="00CF2EA0"/>
    <w:rsid w:val="00CF7CD1"/>
    <w:rsid w:val="00D07187"/>
    <w:rsid w:val="00D1007D"/>
    <w:rsid w:val="00D11E5F"/>
    <w:rsid w:val="00D14D4E"/>
    <w:rsid w:val="00D356C9"/>
    <w:rsid w:val="00D36A3B"/>
    <w:rsid w:val="00D37B20"/>
    <w:rsid w:val="00D40748"/>
    <w:rsid w:val="00D43DB8"/>
    <w:rsid w:val="00D55D7A"/>
    <w:rsid w:val="00D62C2F"/>
    <w:rsid w:val="00D76B39"/>
    <w:rsid w:val="00D80DE2"/>
    <w:rsid w:val="00D95E03"/>
    <w:rsid w:val="00DA08DE"/>
    <w:rsid w:val="00DA5327"/>
    <w:rsid w:val="00DB2975"/>
    <w:rsid w:val="00DB511C"/>
    <w:rsid w:val="00DD55C8"/>
    <w:rsid w:val="00DD5640"/>
    <w:rsid w:val="00E06C4B"/>
    <w:rsid w:val="00E2105A"/>
    <w:rsid w:val="00E2485B"/>
    <w:rsid w:val="00E33BBF"/>
    <w:rsid w:val="00E439F0"/>
    <w:rsid w:val="00E45322"/>
    <w:rsid w:val="00E5072B"/>
    <w:rsid w:val="00E64AF9"/>
    <w:rsid w:val="00E6548C"/>
    <w:rsid w:val="00E67F51"/>
    <w:rsid w:val="00E919E6"/>
    <w:rsid w:val="00E94DDE"/>
    <w:rsid w:val="00E97958"/>
    <w:rsid w:val="00EA02FF"/>
    <w:rsid w:val="00EA4223"/>
    <w:rsid w:val="00EB01F1"/>
    <w:rsid w:val="00EB35AD"/>
    <w:rsid w:val="00EB5DF6"/>
    <w:rsid w:val="00EC1867"/>
    <w:rsid w:val="00EC2879"/>
    <w:rsid w:val="00EC2E5C"/>
    <w:rsid w:val="00EC3E0F"/>
    <w:rsid w:val="00EC492D"/>
    <w:rsid w:val="00EC5929"/>
    <w:rsid w:val="00ED0518"/>
    <w:rsid w:val="00ED2F6A"/>
    <w:rsid w:val="00F0104E"/>
    <w:rsid w:val="00F068F6"/>
    <w:rsid w:val="00F14328"/>
    <w:rsid w:val="00F20BE8"/>
    <w:rsid w:val="00F263C9"/>
    <w:rsid w:val="00F64574"/>
    <w:rsid w:val="00F67D8F"/>
    <w:rsid w:val="00F703AB"/>
    <w:rsid w:val="00F70DB4"/>
    <w:rsid w:val="00F70E31"/>
    <w:rsid w:val="00F74E98"/>
    <w:rsid w:val="00F82BEC"/>
    <w:rsid w:val="00FA10F8"/>
    <w:rsid w:val="00FA194D"/>
    <w:rsid w:val="00FA5A9F"/>
    <w:rsid w:val="00FA63DC"/>
    <w:rsid w:val="00FE130F"/>
    <w:rsid w:val="00FF61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FD637"/>
  <w15:chartTrackingRefBased/>
  <w15:docId w15:val="{9C24392E-101A-472A-902C-02A31240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5EF"/>
    <w:pPr>
      <w:keepNext/>
      <w:keepLines/>
      <w:spacing w:before="240" w:after="0"/>
      <w:outlineLvl w:val="0"/>
    </w:pPr>
    <w:rPr>
      <w:rFonts w:asciiTheme="majorBidi" w:eastAsiaTheme="majorEastAsia" w:hAnsiTheme="majorBid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743A3D"/>
    <w:pPr>
      <w:keepNext/>
      <w:keepLines/>
      <w:spacing w:before="40" w:after="0"/>
      <w:outlineLvl w:val="1"/>
    </w:pPr>
    <w:rPr>
      <w:rFonts w:asciiTheme="majorBidi" w:eastAsiaTheme="majorEastAsia" w:hAnsiTheme="majorBidi" w:cstheme="majorBidi"/>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726"/>
  </w:style>
  <w:style w:type="paragraph" w:styleId="Footer">
    <w:name w:val="footer"/>
    <w:basedOn w:val="Normal"/>
    <w:link w:val="FooterChar"/>
    <w:uiPriority w:val="99"/>
    <w:unhideWhenUsed/>
    <w:rsid w:val="00CC3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726"/>
  </w:style>
  <w:style w:type="paragraph" w:styleId="ListParagraph">
    <w:name w:val="List Paragraph"/>
    <w:basedOn w:val="Normal"/>
    <w:uiPriority w:val="34"/>
    <w:qFormat/>
    <w:rsid w:val="003255EF"/>
    <w:pPr>
      <w:ind w:left="720"/>
      <w:contextualSpacing/>
    </w:pPr>
    <w:rPr>
      <w14:ligatures w14:val="standardContextual"/>
    </w:rPr>
  </w:style>
  <w:style w:type="character" w:customStyle="1" w:styleId="Heading1Char">
    <w:name w:val="Heading 1 Char"/>
    <w:basedOn w:val="DefaultParagraphFont"/>
    <w:link w:val="Heading1"/>
    <w:uiPriority w:val="9"/>
    <w:rsid w:val="003255EF"/>
    <w:rPr>
      <w:rFonts w:asciiTheme="majorBidi" w:eastAsiaTheme="majorEastAsia" w:hAnsiTheme="majorBidi" w:cstheme="majorBidi"/>
      <w:b/>
      <w:color w:val="2E74B5" w:themeColor="accent1" w:themeShade="BF"/>
      <w:sz w:val="32"/>
      <w:szCs w:val="32"/>
    </w:rPr>
  </w:style>
  <w:style w:type="character" w:customStyle="1" w:styleId="Heading2Char">
    <w:name w:val="Heading 2 Char"/>
    <w:basedOn w:val="DefaultParagraphFont"/>
    <w:link w:val="Heading2"/>
    <w:uiPriority w:val="9"/>
    <w:rsid w:val="00743A3D"/>
    <w:rPr>
      <w:rFonts w:asciiTheme="majorBidi" w:eastAsiaTheme="majorEastAsia" w:hAnsiTheme="majorBidi" w:cstheme="majorBidi"/>
      <w:color w:val="2E74B5" w:themeColor="accent1" w:themeShade="BF"/>
      <w:sz w:val="24"/>
      <w:szCs w:val="26"/>
    </w:rPr>
  </w:style>
  <w:style w:type="table" w:styleId="TableGrid">
    <w:name w:val="Table Grid"/>
    <w:basedOn w:val="TableNormal"/>
    <w:uiPriority w:val="39"/>
    <w:rsid w:val="00796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114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0F6E45"/>
    <w:rPr>
      <w:color w:val="0563C1" w:themeColor="hyperlink"/>
      <w:u w:val="single"/>
    </w:rPr>
  </w:style>
  <w:style w:type="character" w:styleId="UnresolvedMention">
    <w:name w:val="Unresolved Mention"/>
    <w:basedOn w:val="DefaultParagraphFont"/>
    <w:uiPriority w:val="99"/>
    <w:semiHidden/>
    <w:unhideWhenUsed/>
    <w:rsid w:val="000F6E45"/>
    <w:rPr>
      <w:color w:val="605E5C"/>
      <w:shd w:val="clear" w:color="auto" w:fill="E1DFDD"/>
    </w:rPr>
  </w:style>
  <w:style w:type="paragraph" w:styleId="TOCHeading">
    <w:name w:val="TOC Heading"/>
    <w:basedOn w:val="Heading1"/>
    <w:next w:val="Normal"/>
    <w:uiPriority w:val="39"/>
    <w:unhideWhenUsed/>
    <w:qFormat/>
    <w:rsid w:val="000C4033"/>
    <w:pPr>
      <w:outlineLvl w:val="9"/>
    </w:pPr>
    <w:rPr>
      <w:rFonts w:asciiTheme="majorHAnsi" w:hAnsiTheme="majorHAnsi"/>
      <w:b w:val="0"/>
      <w:lang w:eastAsia="lt-LT"/>
    </w:rPr>
  </w:style>
  <w:style w:type="paragraph" w:styleId="TOC1">
    <w:name w:val="toc 1"/>
    <w:basedOn w:val="Normal"/>
    <w:next w:val="Normal"/>
    <w:autoRedefine/>
    <w:uiPriority w:val="39"/>
    <w:unhideWhenUsed/>
    <w:rsid w:val="000C4033"/>
    <w:pPr>
      <w:spacing w:after="100"/>
    </w:pPr>
  </w:style>
  <w:style w:type="paragraph" w:styleId="TOC2">
    <w:name w:val="toc 2"/>
    <w:basedOn w:val="Normal"/>
    <w:next w:val="Normal"/>
    <w:autoRedefine/>
    <w:uiPriority w:val="39"/>
    <w:unhideWhenUsed/>
    <w:rsid w:val="000C4033"/>
    <w:pPr>
      <w:spacing w:after="100"/>
      <w:ind w:left="220"/>
    </w:pPr>
  </w:style>
  <w:style w:type="character" w:styleId="CommentReference">
    <w:name w:val="annotation reference"/>
    <w:basedOn w:val="DefaultParagraphFont"/>
    <w:uiPriority w:val="99"/>
    <w:semiHidden/>
    <w:unhideWhenUsed/>
    <w:rsid w:val="00DB2975"/>
    <w:rPr>
      <w:sz w:val="16"/>
      <w:szCs w:val="16"/>
    </w:rPr>
  </w:style>
  <w:style w:type="paragraph" w:styleId="CommentText">
    <w:name w:val="annotation text"/>
    <w:basedOn w:val="Normal"/>
    <w:link w:val="CommentTextChar"/>
    <w:uiPriority w:val="99"/>
    <w:unhideWhenUsed/>
    <w:rsid w:val="00DB2975"/>
    <w:pPr>
      <w:spacing w:line="240" w:lineRule="auto"/>
    </w:pPr>
    <w:rPr>
      <w:sz w:val="20"/>
      <w:szCs w:val="20"/>
    </w:rPr>
  </w:style>
  <w:style w:type="character" w:customStyle="1" w:styleId="CommentTextChar">
    <w:name w:val="Comment Text Char"/>
    <w:basedOn w:val="DefaultParagraphFont"/>
    <w:link w:val="CommentText"/>
    <w:uiPriority w:val="99"/>
    <w:rsid w:val="00DB2975"/>
    <w:rPr>
      <w:sz w:val="20"/>
      <w:szCs w:val="20"/>
    </w:rPr>
  </w:style>
  <w:style w:type="paragraph" w:styleId="CommentSubject">
    <w:name w:val="annotation subject"/>
    <w:basedOn w:val="CommentText"/>
    <w:next w:val="CommentText"/>
    <w:link w:val="CommentSubjectChar"/>
    <w:uiPriority w:val="99"/>
    <w:semiHidden/>
    <w:unhideWhenUsed/>
    <w:rsid w:val="00DB2975"/>
    <w:rPr>
      <w:b/>
      <w:bCs/>
    </w:rPr>
  </w:style>
  <w:style w:type="character" w:customStyle="1" w:styleId="CommentSubjectChar">
    <w:name w:val="Comment Subject Char"/>
    <w:basedOn w:val="CommentTextChar"/>
    <w:link w:val="CommentSubject"/>
    <w:uiPriority w:val="99"/>
    <w:semiHidden/>
    <w:rsid w:val="00DB2975"/>
    <w:rPr>
      <w:b/>
      <w:bCs/>
      <w:sz w:val="20"/>
      <w:szCs w:val="20"/>
    </w:rPr>
  </w:style>
  <w:style w:type="paragraph" w:styleId="Revision">
    <w:name w:val="Revision"/>
    <w:hidden/>
    <w:uiPriority w:val="99"/>
    <w:semiHidden/>
    <w:rsid w:val="005E15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2.xml"
                 Type="http://schemas.openxmlformats.org/officeDocument/2006/relationships/header"/>
   <Relationship Id="rId11" Target="footer1.xml"
                 Type="http://schemas.openxmlformats.org/officeDocument/2006/relationships/footer"/>
   <Relationship Id="rId12" Target="header3.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ttps://www.lat.lt/teismu-praktika/lat-praktika/kasmenesines-lat-praktikos-apzvalgos-nuo-2015-m./61"
                 TargetMode="External"
                 Type="http://schemas.openxmlformats.org/officeDocument/2006/relationships/hyperlink"/>
   <Relationship Id="rId9" Target="header1.xml"
                 Type="http://schemas.openxmlformats.org/officeDocument/2006/relationships/header"/>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s>
</file>

<file path=word/_rels/header2.xml.rels><?xml version="1.0" encoding="UTF-8" standalone="yes"?>
<Relationships xmlns="http://schemas.openxmlformats.org/package/2006/relationships">
   <Relationship Id="rId1" Target="media/image2.png"
                 Type="http://schemas.openxmlformats.org/officeDocument/2006/relationships/image"/>
</Relationships>
</file>

<file path=word/_rels/header3.xml.rels><?xml version="1.0" encoding="UTF-8" standalone="yes"?>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910E9-C6ED-4AC1-B3F4-C688231D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19494</Words>
  <Characters>11113</Characters>
  <Application>Microsoft Office Word</Application>
  <DocSecurity>4</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30546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2026-07-21T04:28:00Z</dcterms:created>
  <dc:creator>Tomas Murnikas</dc:creator>
  <cp:lastModifiedBy>Gintarė Kibildienė | AVNT</cp:lastModifiedBy>
  <dcterms:modified xsi:type="dcterms:W3CDTF">2026-07-21T04:28:00Z</dcterms:modified>
  <cp:revision>2</cp:revision>
</cp:coreProperties>
</file>