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0AF39" w14:textId="77777777" w:rsidR="00315F03" w:rsidRPr="001D13F3" w:rsidRDefault="00315F03" w:rsidP="00315F03">
      <w:pPr>
        <w:jc w:val="center"/>
        <w:rPr>
          <w:rFonts w:asciiTheme="majorBidi" w:hAnsiTheme="majorBidi" w:cstheme="majorBidi"/>
          <w:b/>
          <w:bCs/>
          <w:color w:val="EE0000"/>
          <w:sz w:val="52"/>
          <w:szCs w:val="52"/>
        </w:rPr>
      </w:pPr>
    </w:p>
    <w:p w14:paraId="49384A90" w14:textId="77777777" w:rsidR="00315F03" w:rsidRPr="001D13F3" w:rsidRDefault="00315F03" w:rsidP="00315F03">
      <w:pPr>
        <w:jc w:val="center"/>
        <w:rPr>
          <w:rFonts w:asciiTheme="majorBidi" w:hAnsiTheme="majorBidi" w:cstheme="majorBidi"/>
          <w:b/>
          <w:bCs/>
          <w:color w:val="EE0000"/>
          <w:sz w:val="52"/>
          <w:szCs w:val="52"/>
        </w:rPr>
      </w:pPr>
    </w:p>
    <w:p w14:paraId="576BBAEE" w14:textId="77777777" w:rsidR="00315F03" w:rsidRPr="001D13F3" w:rsidRDefault="00315F03" w:rsidP="00315F03">
      <w:pPr>
        <w:jc w:val="center"/>
        <w:rPr>
          <w:rFonts w:asciiTheme="majorBidi" w:hAnsiTheme="majorBidi" w:cstheme="majorBidi"/>
          <w:b/>
          <w:bCs/>
          <w:color w:val="EE0000"/>
          <w:sz w:val="52"/>
          <w:szCs w:val="52"/>
        </w:rPr>
      </w:pPr>
    </w:p>
    <w:p w14:paraId="230624D3" w14:textId="77777777" w:rsidR="00315F03" w:rsidRPr="001D13F3" w:rsidRDefault="00315F03" w:rsidP="00315F03">
      <w:pPr>
        <w:jc w:val="center"/>
        <w:rPr>
          <w:rFonts w:asciiTheme="majorBidi" w:hAnsiTheme="majorBidi" w:cstheme="majorBidi"/>
          <w:b/>
          <w:bCs/>
          <w:color w:val="EE0000"/>
          <w:sz w:val="52"/>
          <w:szCs w:val="52"/>
        </w:rPr>
      </w:pPr>
    </w:p>
    <w:p w14:paraId="76BA43BF" w14:textId="77777777" w:rsidR="00315F03" w:rsidRPr="001D13F3" w:rsidRDefault="00315F03" w:rsidP="00315F03">
      <w:pPr>
        <w:jc w:val="center"/>
        <w:rPr>
          <w:rFonts w:asciiTheme="majorBidi" w:hAnsiTheme="majorBidi" w:cstheme="majorBidi"/>
          <w:b/>
          <w:bCs/>
          <w:color w:val="EE0000"/>
          <w:sz w:val="52"/>
          <w:szCs w:val="52"/>
        </w:rPr>
      </w:pPr>
    </w:p>
    <w:p w14:paraId="27F34182" w14:textId="605C2836" w:rsidR="00705DF0" w:rsidRPr="001D13F3" w:rsidRDefault="00747785" w:rsidP="00315F03">
      <w:pPr>
        <w:jc w:val="center"/>
        <w:rPr>
          <w:rFonts w:asciiTheme="majorBidi" w:hAnsiTheme="majorBidi" w:cstheme="majorBidi"/>
          <w:b/>
          <w:bCs/>
          <w:color w:val="000000" w:themeColor="text1"/>
          <w:sz w:val="52"/>
          <w:szCs w:val="52"/>
        </w:rPr>
      </w:pPr>
      <w:r w:rsidRPr="001D13F3">
        <w:rPr>
          <w:rFonts w:asciiTheme="majorBidi" w:hAnsiTheme="majorBidi" w:cstheme="majorBidi"/>
          <w:b/>
          <w:bCs/>
          <w:color w:val="000000" w:themeColor="text1"/>
          <w:sz w:val="52"/>
          <w:szCs w:val="52"/>
        </w:rPr>
        <w:t>2026 m</w:t>
      </w:r>
      <w:r w:rsidR="008518A9" w:rsidRPr="001D13F3">
        <w:rPr>
          <w:rFonts w:asciiTheme="majorBidi" w:hAnsiTheme="majorBidi" w:cstheme="majorBidi"/>
          <w:b/>
          <w:bCs/>
          <w:color w:val="000000" w:themeColor="text1"/>
          <w:sz w:val="52"/>
          <w:szCs w:val="52"/>
        </w:rPr>
        <w:t>.</w:t>
      </w:r>
      <w:r w:rsidRPr="001D13F3">
        <w:rPr>
          <w:rFonts w:asciiTheme="majorBidi" w:hAnsiTheme="majorBidi" w:cstheme="majorBidi"/>
          <w:b/>
          <w:bCs/>
          <w:color w:val="000000" w:themeColor="text1"/>
          <w:sz w:val="52"/>
          <w:szCs w:val="52"/>
        </w:rPr>
        <w:t xml:space="preserve"> I</w:t>
      </w:r>
      <w:r w:rsidR="004E6275" w:rsidRPr="001D13F3">
        <w:rPr>
          <w:rFonts w:asciiTheme="majorBidi" w:hAnsiTheme="majorBidi" w:cstheme="majorBidi"/>
          <w:b/>
          <w:bCs/>
          <w:color w:val="000000" w:themeColor="text1"/>
          <w:sz w:val="52"/>
          <w:szCs w:val="52"/>
        </w:rPr>
        <w:t>I</w:t>
      </w:r>
      <w:r w:rsidR="001D13F3" w:rsidRPr="001D13F3">
        <w:rPr>
          <w:rFonts w:asciiTheme="majorBidi" w:hAnsiTheme="majorBidi" w:cstheme="majorBidi"/>
          <w:b/>
          <w:bCs/>
          <w:color w:val="000000" w:themeColor="text1"/>
          <w:sz w:val="52"/>
          <w:szCs w:val="52"/>
        </w:rPr>
        <w:t>I</w:t>
      </w:r>
      <w:r w:rsidRPr="001D13F3">
        <w:rPr>
          <w:rFonts w:asciiTheme="majorBidi" w:hAnsiTheme="majorBidi" w:cstheme="majorBidi"/>
          <w:b/>
          <w:bCs/>
          <w:color w:val="000000" w:themeColor="text1"/>
          <w:sz w:val="52"/>
          <w:szCs w:val="52"/>
        </w:rPr>
        <w:t xml:space="preserve"> ketvirčio </w:t>
      </w:r>
      <w:r w:rsidR="005E15C8" w:rsidRPr="001D13F3">
        <w:rPr>
          <w:rFonts w:asciiTheme="majorBidi" w:hAnsiTheme="majorBidi" w:cstheme="majorBidi"/>
          <w:b/>
          <w:bCs/>
          <w:color w:val="000000" w:themeColor="text1"/>
          <w:sz w:val="52"/>
          <w:szCs w:val="52"/>
        </w:rPr>
        <w:t xml:space="preserve">Lietuvos Aukščiausiojo </w:t>
      </w:r>
      <w:r w:rsidR="00360920" w:rsidRPr="001D13F3">
        <w:rPr>
          <w:rFonts w:asciiTheme="majorBidi" w:hAnsiTheme="majorBidi" w:cstheme="majorBidi"/>
          <w:b/>
          <w:bCs/>
          <w:color w:val="000000" w:themeColor="text1"/>
          <w:sz w:val="52"/>
          <w:szCs w:val="52"/>
        </w:rPr>
        <w:t xml:space="preserve">Teismo </w:t>
      </w:r>
      <w:r w:rsidR="005E15C8" w:rsidRPr="001D13F3">
        <w:rPr>
          <w:rFonts w:asciiTheme="majorBidi" w:hAnsiTheme="majorBidi" w:cstheme="majorBidi"/>
          <w:b/>
          <w:bCs/>
          <w:color w:val="000000" w:themeColor="text1"/>
          <w:sz w:val="52"/>
          <w:szCs w:val="52"/>
        </w:rPr>
        <w:t xml:space="preserve">ir Lietuvos apeliacinio </w:t>
      </w:r>
      <w:r w:rsidRPr="001D13F3">
        <w:rPr>
          <w:rFonts w:asciiTheme="majorBidi" w:hAnsiTheme="majorBidi" w:cstheme="majorBidi"/>
          <w:b/>
          <w:bCs/>
          <w:color w:val="000000" w:themeColor="text1"/>
          <w:sz w:val="52"/>
          <w:szCs w:val="52"/>
        </w:rPr>
        <w:t>teism</w:t>
      </w:r>
      <w:r w:rsidR="00360920" w:rsidRPr="001D13F3">
        <w:rPr>
          <w:rFonts w:asciiTheme="majorBidi" w:hAnsiTheme="majorBidi" w:cstheme="majorBidi"/>
          <w:b/>
          <w:bCs/>
          <w:color w:val="000000" w:themeColor="text1"/>
          <w:sz w:val="52"/>
          <w:szCs w:val="52"/>
        </w:rPr>
        <w:t>o</w:t>
      </w:r>
      <w:r w:rsidR="00315F03" w:rsidRPr="001D13F3">
        <w:rPr>
          <w:rFonts w:asciiTheme="majorBidi" w:hAnsiTheme="majorBidi" w:cstheme="majorBidi"/>
          <w:b/>
          <w:bCs/>
          <w:color w:val="000000" w:themeColor="text1"/>
          <w:sz w:val="52"/>
          <w:szCs w:val="52"/>
        </w:rPr>
        <w:t xml:space="preserve"> nutarčių </w:t>
      </w:r>
      <w:r w:rsidRPr="001D13F3">
        <w:rPr>
          <w:rFonts w:asciiTheme="majorBidi" w:hAnsiTheme="majorBidi" w:cstheme="majorBidi"/>
          <w:b/>
          <w:bCs/>
          <w:color w:val="000000" w:themeColor="text1"/>
          <w:sz w:val="52"/>
          <w:szCs w:val="52"/>
        </w:rPr>
        <w:t xml:space="preserve">apžvalga </w:t>
      </w:r>
      <w:r w:rsidR="00315F03" w:rsidRPr="001D13F3">
        <w:rPr>
          <w:rFonts w:asciiTheme="majorBidi" w:hAnsiTheme="majorBidi" w:cstheme="majorBidi"/>
          <w:b/>
          <w:bCs/>
          <w:color w:val="000000" w:themeColor="text1"/>
          <w:sz w:val="52"/>
          <w:szCs w:val="52"/>
        </w:rPr>
        <w:t xml:space="preserve">nemokumo klausimais </w:t>
      </w:r>
    </w:p>
    <w:p w14:paraId="5EBA3A3A" w14:textId="77777777" w:rsidR="00315F03" w:rsidRPr="001D13F3" w:rsidRDefault="00315F03" w:rsidP="00315F03">
      <w:pPr>
        <w:jc w:val="center"/>
        <w:rPr>
          <w:rFonts w:asciiTheme="majorBidi" w:hAnsiTheme="majorBidi" w:cstheme="majorBidi"/>
          <w:b/>
          <w:bCs/>
          <w:color w:val="EE0000"/>
          <w:sz w:val="52"/>
          <w:szCs w:val="52"/>
        </w:rPr>
      </w:pPr>
    </w:p>
    <w:p w14:paraId="47CA8557" w14:textId="77777777" w:rsidR="00315F03" w:rsidRPr="001D13F3" w:rsidRDefault="00315F03" w:rsidP="00315F03">
      <w:pPr>
        <w:jc w:val="center"/>
        <w:rPr>
          <w:rFonts w:asciiTheme="majorBidi" w:hAnsiTheme="majorBidi" w:cstheme="majorBidi"/>
          <w:b/>
          <w:bCs/>
          <w:color w:val="EE0000"/>
          <w:sz w:val="52"/>
          <w:szCs w:val="52"/>
        </w:rPr>
      </w:pPr>
    </w:p>
    <w:p w14:paraId="6B6488D0" w14:textId="77777777" w:rsidR="00315F03" w:rsidRPr="001D13F3" w:rsidRDefault="00315F03" w:rsidP="00315F03">
      <w:pPr>
        <w:jc w:val="center"/>
        <w:rPr>
          <w:rFonts w:asciiTheme="majorBidi" w:hAnsiTheme="majorBidi" w:cstheme="majorBidi"/>
          <w:b/>
          <w:bCs/>
          <w:color w:val="EE0000"/>
          <w:sz w:val="52"/>
          <w:szCs w:val="52"/>
        </w:rPr>
      </w:pPr>
    </w:p>
    <w:p w14:paraId="082E57B7" w14:textId="77777777" w:rsidR="00315F03" w:rsidRPr="001D13F3" w:rsidRDefault="00315F03" w:rsidP="00315F03">
      <w:pPr>
        <w:jc w:val="center"/>
        <w:rPr>
          <w:rFonts w:asciiTheme="majorBidi" w:hAnsiTheme="majorBidi" w:cstheme="majorBidi"/>
          <w:b/>
          <w:bCs/>
          <w:color w:val="EE0000"/>
          <w:sz w:val="52"/>
          <w:szCs w:val="52"/>
        </w:rPr>
      </w:pPr>
    </w:p>
    <w:p w14:paraId="77165087" w14:textId="77777777" w:rsidR="00315F03" w:rsidRPr="001D13F3" w:rsidRDefault="00315F03" w:rsidP="00315F03">
      <w:pPr>
        <w:jc w:val="center"/>
        <w:rPr>
          <w:rFonts w:asciiTheme="majorBidi" w:hAnsiTheme="majorBidi" w:cstheme="majorBidi"/>
          <w:b/>
          <w:bCs/>
          <w:color w:val="EE0000"/>
          <w:sz w:val="52"/>
          <w:szCs w:val="52"/>
        </w:rPr>
      </w:pPr>
    </w:p>
    <w:p w14:paraId="32C684BA" w14:textId="77777777" w:rsidR="00315F03" w:rsidRPr="00B17404" w:rsidRDefault="00315F03" w:rsidP="00C347FD">
      <w:pPr>
        <w:rPr>
          <w:rFonts w:asciiTheme="majorBidi" w:hAnsiTheme="majorBidi" w:cstheme="majorBidi"/>
          <w:b/>
          <w:bCs/>
          <w:color w:val="000000" w:themeColor="text1"/>
          <w:sz w:val="52"/>
          <w:szCs w:val="52"/>
        </w:rPr>
      </w:pPr>
    </w:p>
    <w:p w14:paraId="6B6CEF76" w14:textId="2FA90EC5" w:rsidR="0047020B" w:rsidRPr="00B17404" w:rsidRDefault="00315F03" w:rsidP="00315F03">
      <w:pPr>
        <w:rPr>
          <w:rFonts w:asciiTheme="majorBidi" w:hAnsiTheme="majorBidi" w:cstheme="majorBidi"/>
          <w:color w:val="000000" w:themeColor="text1"/>
          <w:sz w:val="20"/>
          <w:szCs w:val="20"/>
        </w:rPr>
      </w:pPr>
      <w:r w:rsidRPr="00B17404">
        <w:rPr>
          <w:rFonts w:asciiTheme="majorBidi" w:hAnsiTheme="majorBidi" w:cstheme="majorBidi"/>
          <w:color w:val="000000" w:themeColor="text1"/>
          <w:sz w:val="20"/>
          <w:szCs w:val="20"/>
        </w:rPr>
        <w:t>Parengta</w:t>
      </w:r>
    </w:p>
    <w:p w14:paraId="6CD210C6" w14:textId="1F9739F8" w:rsidR="00315F03" w:rsidRPr="00B17404" w:rsidRDefault="00315F03" w:rsidP="00315F03">
      <w:pPr>
        <w:rPr>
          <w:rFonts w:asciiTheme="majorBidi" w:hAnsiTheme="majorBidi" w:cstheme="majorBidi"/>
          <w:color w:val="000000" w:themeColor="text1"/>
          <w:sz w:val="20"/>
          <w:szCs w:val="20"/>
        </w:rPr>
      </w:pPr>
      <w:r w:rsidRPr="00B17404">
        <w:rPr>
          <w:rFonts w:asciiTheme="majorBidi" w:hAnsiTheme="majorBidi" w:cstheme="majorBidi"/>
          <w:color w:val="000000" w:themeColor="text1"/>
          <w:sz w:val="20"/>
          <w:szCs w:val="20"/>
        </w:rPr>
        <w:t>2026 m. I</w:t>
      </w:r>
      <w:r w:rsidR="004E6275" w:rsidRPr="00B17404">
        <w:rPr>
          <w:rFonts w:asciiTheme="majorBidi" w:hAnsiTheme="majorBidi" w:cstheme="majorBidi"/>
          <w:color w:val="000000" w:themeColor="text1"/>
          <w:sz w:val="20"/>
          <w:szCs w:val="20"/>
        </w:rPr>
        <w:t>I</w:t>
      </w:r>
      <w:r w:rsidR="00B17404" w:rsidRPr="00B17404">
        <w:rPr>
          <w:rFonts w:asciiTheme="majorBidi" w:hAnsiTheme="majorBidi" w:cstheme="majorBidi"/>
          <w:color w:val="000000" w:themeColor="text1"/>
          <w:sz w:val="20"/>
          <w:szCs w:val="20"/>
        </w:rPr>
        <w:t>I</w:t>
      </w:r>
      <w:r w:rsidRPr="00B17404">
        <w:rPr>
          <w:rFonts w:asciiTheme="majorBidi" w:hAnsiTheme="majorBidi" w:cstheme="majorBidi"/>
          <w:color w:val="000000" w:themeColor="text1"/>
          <w:sz w:val="20"/>
          <w:szCs w:val="20"/>
        </w:rPr>
        <w:t xml:space="preserve"> ketvirtį</w:t>
      </w:r>
    </w:p>
    <w:p w14:paraId="782D98E4" w14:textId="77777777" w:rsidR="00601B65" w:rsidRPr="001D13F3" w:rsidRDefault="00601B65" w:rsidP="00315F03">
      <w:pPr>
        <w:rPr>
          <w:rFonts w:asciiTheme="majorBidi" w:hAnsiTheme="majorBidi" w:cstheme="majorBidi"/>
          <w:color w:val="EE0000"/>
          <w:sz w:val="24"/>
          <w:szCs w:val="24"/>
        </w:rPr>
      </w:pPr>
    </w:p>
    <w:p w14:paraId="69C1EE33" w14:textId="03A85C3C" w:rsidR="00601B65" w:rsidRPr="0042092E" w:rsidRDefault="00D95E03" w:rsidP="00315F03">
      <w:pPr>
        <w:rPr>
          <w:rFonts w:asciiTheme="majorBidi" w:hAnsiTheme="majorBidi" w:cstheme="majorBidi"/>
          <w:b/>
          <w:bCs/>
          <w:color w:val="000000" w:themeColor="text1"/>
          <w:sz w:val="24"/>
          <w:szCs w:val="24"/>
        </w:rPr>
      </w:pPr>
      <w:r w:rsidRPr="0042092E">
        <w:rPr>
          <w:rFonts w:asciiTheme="majorBidi" w:hAnsiTheme="majorBidi" w:cstheme="majorBidi"/>
          <w:b/>
          <w:bCs/>
          <w:color w:val="000000" w:themeColor="text1"/>
          <w:sz w:val="24"/>
          <w:szCs w:val="24"/>
        </w:rPr>
        <w:lastRenderedPageBreak/>
        <w:t xml:space="preserve">Vartojamos </w:t>
      </w:r>
      <w:r w:rsidR="00601B65" w:rsidRPr="0042092E">
        <w:rPr>
          <w:rFonts w:asciiTheme="majorBidi" w:hAnsiTheme="majorBidi" w:cstheme="majorBidi"/>
          <w:b/>
          <w:bCs/>
          <w:color w:val="000000" w:themeColor="text1"/>
          <w:sz w:val="24"/>
          <w:szCs w:val="24"/>
        </w:rPr>
        <w:t>santrumpos</w:t>
      </w:r>
    </w:p>
    <w:tbl>
      <w:tblPr>
        <w:tblStyle w:val="TableGrid"/>
        <w:tblW w:w="0" w:type="auto"/>
        <w:tblCellMar>
          <w:left w:w="0" w:type="dxa"/>
          <w:right w:w="0" w:type="dxa"/>
        </w:tblCellMar>
        <w:tblLook w:val="04A0" w:firstRow="1" w:lastRow="0" w:firstColumn="1" w:lastColumn="0" w:noHBand="0" w:noVBand="1"/>
      </w:tblPr>
      <w:tblGrid>
        <w:gridCol w:w="704"/>
        <w:gridCol w:w="1413"/>
        <w:gridCol w:w="4649"/>
      </w:tblGrid>
      <w:tr w:rsidR="007966C9" w:rsidRPr="001D13F3" w14:paraId="5B3AEEF3" w14:textId="77777777" w:rsidTr="000A2D09">
        <w:trPr>
          <w:trHeight w:val="418"/>
        </w:trPr>
        <w:tc>
          <w:tcPr>
            <w:tcW w:w="704" w:type="dxa"/>
            <w:shd w:val="clear" w:color="auto" w:fill="E7E6E6" w:themeFill="background2"/>
          </w:tcPr>
          <w:p w14:paraId="18B1EA45" w14:textId="5791D548" w:rsidR="007966C9" w:rsidRPr="00A56D81" w:rsidRDefault="007966C9" w:rsidP="00EB5DF6">
            <w:pPr>
              <w:jc w:val="center"/>
              <w:rPr>
                <w:rFonts w:asciiTheme="majorBidi" w:hAnsiTheme="majorBidi" w:cstheme="majorBidi"/>
                <w:b/>
                <w:bCs/>
                <w:color w:val="000000" w:themeColor="text1"/>
                <w:sz w:val="20"/>
                <w:szCs w:val="20"/>
              </w:rPr>
            </w:pPr>
            <w:r w:rsidRPr="00A56D81">
              <w:rPr>
                <w:rFonts w:asciiTheme="majorBidi" w:hAnsiTheme="majorBidi" w:cstheme="majorBidi"/>
                <w:b/>
                <w:bCs/>
                <w:color w:val="000000" w:themeColor="text1"/>
                <w:sz w:val="20"/>
                <w:szCs w:val="20"/>
              </w:rPr>
              <w:t>Nr.</w:t>
            </w:r>
          </w:p>
        </w:tc>
        <w:tc>
          <w:tcPr>
            <w:tcW w:w="1413" w:type="dxa"/>
            <w:shd w:val="clear" w:color="auto" w:fill="E7E6E6" w:themeFill="background2"/>
          </w:tcPr>
          <w:p w14:paraId="7C7514DB" w14:textId="7AEA1506" w:rsidR="007966C9" w:rsidRPr="00A56D81" w:rsidRDefault="007966C9" w:rsidP="00EB5DF6">
            <w:pPr>
              <w:jc w:val="center"/>
              <w:rPr>
                <w:rFonts w:asciiTheme="majorBidi" w:hAnsiTheme="majorBidi" w:cstheme="majorBidi"/>
                <w:b/>
                <w:bCs/>
                <w:color w:val="000000" w:themeColor="text1"/>
                <w:sz w:val="20"/>
                <w:szCs w:val="20"/>
              </w:rPr>
            </w:pPr>
            <w:r w:rsidRPr="00A56D81">
              <w:rPr>
                <w:rFonts w:asciiTheme="majorBidi" w:hAnsiTheme="majorBidi" w:cstheme="majorBidi"/>
                <w:b/>
                <w:bCs/>
                <w:color w:val="000000" w:themeColor="text1"/>
                <w:sz w:val="20"/>
                <w:szCs w:val="20"/>
              </w:rPr>
              <w:t>Santrumpa</w:t>
            </w:r>
          </w:p>
        </w:tc>
        <w:tc>
          <w:tcPr>
            <w:tcW w:w="4649" w:type="dxa"/>
            <w:shd w:val="clear" w:color="auto" w:fill="E7E6E6" w:themeFill="background2"/>
          </w:tcPr>
          <w:p w14:paraId="32AE13D0" w14:textId="52773F16" w:rsidR="007966C9" w:rsidRPr="00A56D81" w:rsidRDefault="00EB5DF6" w:rsidP="00EB5DF6">
            <w:pPr>
              <w:jc w:val="center"/>
              <w:rPr>
                <w:rFonts w:asciiTheme="majorBidi" w:hAnsiTheme="majorBidi" w:cstheme="majorBidi"/>
                <w:b/>
                <w:bCs/>
                <w:color w:val="000000" w:themeColor="text1"/>
                <w:sz w:val="20"/>
                <w:szCs w:val="20"/>
              </w:rPr>
            </w:pPr>
            <w:r w:rsidRPr="00A56D81">
              <w:rPr>
                <w:rFonts w:asciiTheme="majorBidi" w:hAnsiTheme="majorBidi" w:cstheme="majorBidi"/>
                <w:b/>
                <w:bCs/>
                <w:color w:val="000000" w:themeColor="text1"/>
                <w:sz w:val="20"/>
                <w:szCs w:val="20"/>
              </w:rPr>
              <w:t>Reikšmė</w:t>
            </w:r>
          </w:p>
        </w:tc>
      </w:tr>
      <w:tr w:rsidR="007966C9" w:rsidRPr="001D13F3" w14:paraId="1A4C3A35" w14:textId="77777777" w:rsidTr="000A2D09">
        <w:trPr>
          <w:trHeight w:val="418"/>
        </w:trPr>
        <w:tc>
          <w:tcPr>
            <w:tcW w:w="704" w:type="dxa"/>
          </w:tcPr>
          <w:p w14:paraId="7EEDB8B0" w14:textId="73BF7D48" w:rsidR="007966C9" w:rsidRPr="00981543" w:rsidRDefault="007966C9" w:rsidP="000A2D09">
            <w:pPr>
              <w:pStyle w:val="ListParagraph"/>
              <w:numPr>
                <w:ilvl w:val="0"/>
                <w:numId w:val="7"/>
              </w:numPr>
              <w:rPr>
                <w:rFonts w:asciiTheme="majorBidi" w:hAnsiTheme="majorBidi" w:cstheme="majorBidi"/>
                <w:b/>
                <w:bCs/>
                <w:color w:val="000000" w:themeColor="text1"/>
                <w:sz w:val="20"/>
                <w:szCs w:val="20"/>
              </w:rPr>
            </w:pPr>
          </w:p>
        </w:tc>
        <w:tc>
          <w:tcPr>
            <w:tcW w:w="1413" w:type="dxa"/>
            <w:vAlign w:val="center"/>
          </w:tcPr>
          <w:p w14:paraId="00D34508" w14:textId="4ECB1B00" w:rsidR="007966C9" w:rsidRPr="00981543" w:rsidRDefault="00E9029C" w:rsidP="00EB5DF6">
            <w:pPr>
              <w:jc w:val="center"/>
              <w:rPr>
                <w:rFonts w:asciiTheme="majorBidi" w:hAnsiTheme="majorBidi" w:cstheme="majorBidi"/>
                <w:b/>
                <w:bCs/>
                <w:color w:val="000000" w:themeColor="text1"/>
                <w:sz w:val="20"/>
                <w:szCs w:val="20"/>
              </w:rPr>
            </w:pPr>
            <w:r w:rsidRPr="00981543">
              <w:rPr>
                <w:rFonts w:asciiTheme="majorBidi" w:hAnsiTheme="majorBidi" w:cstheme="majorBidi"/>
                <w:b/>
                <w:bCs/>
                <w:color w:val="000000" w:themeColor="text1"/>
                <w:sz w:val="20"/>
                <w:szCs w:val="20"/>
              </w:rPr>
              <w:t>LAT</w:t>
            </w:r>
          </w:p>
        </w:tc>
        <w:tc>
          <w:tcPr>
            <w:tcW w:w="4649" w:type="dxa"/>
            <w:vAlign w:val="center"/>
          </w:tcPr>
          <w:p w14:paraId="440BF895" w14:textId="0A747626" w:rsidR="007966C9" w:rsidRPr="00981543" w:rsidRDefault="00EB5DF6" w:rsidP="00EB5DF6">
            <w:pPr>
              <w:jc w:val="center"/>
              <w:rPr>
                <w:rFonts w:asciiTheme="majorBidi" w:hAnsiTheme="majorBidi" w:cstheme="majorBidi"/>
                <w:color w:val="000000" w:themeColor="text1"/>
                <w:sz w:val="20"/>
                <w:szCs w:val="20"/>
              </w:rPr>
            </w:pPr>
            <w:r w:rsidRPr="00981543">
              <w:rPr>
                <w:rFonts w:asciiTheme="majorBidi" w:hAnsiTheme="majorBidi" w:cstheme="majorBidi"/>
                <w:color w:val="000000" w:themeColor="text1"/>
                <w:sz w:val="20"/>
                <w:szCs w:val="20"/>
              </w:rPr>
              <w:t>Lietuvos Aukščiausiasis Teismas</w:t>
            </w:r>
          </w:p>
        </w:tc>
      </w:tr>
      <w:tr w:rsidR="00D55D7A" w:rsidRPr="001D13F3" w14:paraId="2BC4B6E3" w14:textId="77777777" w:rsidTr="000A2D09">
        <w:trPr>
          <w:trHeight w:val="418"/>
        </w:trPr>
        <w:tc>
          <w:tcPr>
            <w:tcW w:w="704" w:type="dxa"/>
          </w:tcPr>
          <w:p w14:paraId="3E97638F" w14:textId="77777777" w:rsidR="00D55D7A" w:rsidRPr="00981543" w:rsidRDefault="00D55D7A" w:rsidP="000A2D09">
            <w:pPr>
              <w:pStyle w:val="ListParagraph"/>
              <w:numPr>
                <w:ilvl w:val="0"/>
                <w:numId w:val="7"/>
              </w:numPr>
              <w:rPr>
                <w:rFonts w:asciiTheme="majorBidi" w:hAnsiTheme="majorBidi" w:cstheme="majorBidi"/>
                <w:b/>
                <w:bCs/>
                <w:color w:val="000000" w:themeColor="text1"/>
                <w:sz w:val="20"/>
                <w:szCs w:val="20"/>
              </w:rPr>
            </w:pPr>
          </w:p>
        </w:tc>
        <w:tc>
          <w:tcPr>
            <w:tcW w:w="1413" w:type="dxa"/>
            <w:vAlign w:val="center"/>
          </w:tcPr>
          <w:p w14:paraId="50D32AA2" w14:textId="28255125" w:rsidR="00D55D7A" w:rsidRPr="00981543" w:rsidRDefault="00D55D7A" w:rsidP="00EB5DF6">
            <w:pPr>
              <w:jc w:val="center"/>
              <w:rPr>
                <w:rFonts w:asciiTheme="majorBidi" w:hAnsiTheme="majorBidi" w:cstheme="majorBidi"/>
                <w:b/>
                <w:bCs/>
                <w:color w:val="000000" w:themeColor="text1"/>
                <w:sz w:val="20"/>
                <w:szCs w:val="20"/>
              </w:rPr>
            </w:pPr>
            <w:r w:rsidRPr="00981543">
              <w:rPr>
                <w:rFonts w:asciiTheme="majorBidi" w:hAnsiTheme="majorBidi" w:cstheme="majorBidi"/>
                <w:b/>
                <w:bCs/>
                <w:color w:val="000000" w:themeColor="text1"/>
                <w:sz w:val="20"/>
                <w:szCs w:val="20"/>
              </w:rPr>
              <w:t>LAp</w:t>
            </w:r>
            <w:r w:rsidR="005E15C8" w:rsidRPr="00981543">
              <w:rPr>
                <w:rFonts w:asciiTheme="majorBidi" w:hAnsiTheme="majorBidi" w:cstheme="majorBidi"/>
                <w:b/>
                <w:bCs/>
                <w:color w:val="000000" w:themeColor="text1"/>
                <w:sz w:val="20"/>
                <w:szCs w:val="20"/>
              </w:rPr>
              <w:t>T</w:t>
            </w:r>
          </w:p>
        </w:tc>
        <w:tc>
          <w:tcPr>
            <w:tcW w:w="4649" w:type="dxa"/>
            <w:vAlign w:val="center"/>
          </w:tcPr>
          <w:p w14:paraId="50175FD8" w14:textId="1844595B" w:rsidR="00D55D7A" w:rsidRPr="00981543" w:rsidRDefault="00D55D7A" w:rsidP="00EB5DF6">
            <w:pPr>
              <w:jc w:val="center"/>
              <w:rPr>
                <w:rFonts w:asciiTheme="majorBidi" w:hAnsiTheme="majorBidi" w:cstheme="majorBidi"/>
                <w:color w:val="000000" w:themeColor="text1"/>
                <w:sz w:val="20"/>
                <w:szCs w:val="20"/>
              </w:rPr>
            </w:pPr>
            <w:r w:rsidRPr="00981543">
              <w:rPr>
                <w:rFonts w:asciiTheme="majorBidi" w:hAnsiTheme="majorBidi" w:cstheme="majorBidi"/>
                <w:color w:val="000000" w:themeColor="text1"/>
                <w:sz w:val="20"/>
                <w:szCs w:val="20"/>
              </w:rPr>
              <w:t>Lietuvos apeliacinis teismas</w:t>
            </w:r>
          </w:p>
        </w:tc>
      </w:tr>
      <w:tr w:rsidR="004429E2" w:rsidRPr="001D13F3" w14:paraId="533B7C6C" w14:textId="77777777" w:rsidTr="000A2D09">
        <w:trPr>
          <w:trHeight w:val="418"/>
        </w:trPr>
        <w:tc>
          <w:tcPr>
            <w:tcW w:w="704" w:type="dxa"/>
          </w:tcPr>
          <w:p w14:paraId="48B3A9E2" w14:textId="77777777" w:rsidR="004429E2" w:rsidRPr="008D479B" w:rsidRDefault="004429E2" w:rsidP="000A2D09">
            <w:pPr>
              <w:pStyle w:val="ListParagraph"/>
              <w:numPr>
                <w:ilvl w:val="0"/>
                <w:numId w:val="7"/>
              </w:numPr>
              <w:rPr>
                <w:rFonts w:asciiTheme="majorBidi" w:hAnsiTheme="majorBidi" w:cstheme="majorBidi"/>
                <w:b/>
                <w:bCs/>
                <w:color w:val="000000" w:themeColor="text1"/>
                <w:sz w:val="20"/>
                <w:szCs w:val="20"/>
              </w:rPr>
            </w:pPr>
          </w:p>
        </w:tc>
        <w:tc>
          <w:tcPr>
            <w:tcW w:w="1413" w:type="dxa"/>
            <w:vAlign w:val="center"/>
          </w:tcPr>
          <w:p w14:paraId="2F8917EC" w14:textId="0C7188BC" w:rsidR="004429E2" w:rsidRPr="008D479B" w:rsidRDefault="004429E2" w:rsidP="00EB5DF6">
            <w:pPr>
              <w:jc w:val="center"/>
              <w:rPr>
                <w:rFonts w:asciiTheme="majorBidi" w:hAnsiTheme="majorBidi" w:cstheme="majorBidi"/>
                <w:b/>
                <w:bCs/>
                <w:color w:val="000000" w:themeColor="text1"/>
                <w:sz w:val="20"/>
                <w:szCs w:val="20"/>
              </w:rPr>
            </w:pPr>
            <w:r w:rsidRPr="008D479B">
              <w:rPr>
                <w:rFonts w:asciiTheme="majorBidi" w:hAnsiTheme="majorBidi" w:cstheme="majorBidi"/>
                <w:b/>
                <w:bCs/>
                <w:color w:val="000000" w:themeColor="text1"/>
                <w:sz w:val="20"/>
                <w:szCs w:val="20"/>
              </w:rPr>
              <w:t>CK</w:t>
            </w:r>
          </w:p>
        </w:tc>
        <w:tc>
          <w:tcPr>
            <w:tcW w:w="4649" w:type="dxa"/>
            <w:vAlign w:val="center"/>
          </w:tcPr>
          <w:p w14:paraId="396783E3" w14:textId="7E6160F5" w:rsidR="004429E2" w:rsidRPr="008D479B" w:rsidRDefault="00747987" w:rsidP="00747987">
            <w:pPr>
              <w:jc w:val="center"/>
              <w:rPr>
                <w:rFonts w:asciiTheme="majorBidi" w:hAnsiTheme="majorBidi" w:cstheme="majorBidi"/>
                <w:color w:val="000000" w:themeColor="text1"/>
                <w:sz w:val="20"/>
                <w:szCs w:val="20"/>
              </w:rPr>
            </w:pPr>
            <w:r w:rsidRPr="008D479B">
              <w:rPr>
                <w:rFonts w:asciiTheme="majorBidi" w:hAnsiTheme="majorBidi" w:cstheme="majorBidi"/>
                <w:color w:val="000000" w:themeColor="text1"/>
                <w:sz w:val="20"/>
                <w:szCs w:val="20"/>
              </w:rPr>
              <w:t>Lietuvos Respublikos civilinis kodeksas</w:t>
            </w:r>
          </w:p>
        </w:tc>
      </w:tr>
      <w:tr w:rsidR="00747987" w:rsidRPr="001D13F3" w14:paraId="76ACB346" w14:textId="77777777" w:rsidTr="000A2D09">
        <w:trPr>
          <w:trHeight w:val="418"/>
        </w:trPr>
        <w:tc>
          <w:tcPr>
            <w:tcW w:w="704" w:type="dxa"/>
          </w:tcPr>
          <w:p w14:paraId="343FB3A9" w14:textId="77777777" w:rsidR="00747987" w:rsidRPr="008D479B" w:rsidRDefault="00747987" w:rsidP="000A2D09">
            <w:pPr>
              <w:pStyle w:val="ListParagraph"/>
              <w:numPr>
                <w:ilvl w:val="0"/>
                <w:numId w:val="7"/>
              </w:numPr>
              <w:rPr>
                <w:rFonts w:asciiTheme="majorBidi" w:hAnsiTheme="majorBidi" w:cstheme="majorBidi"/>
                <w:b/>
                <w:bCs/>
                <w:color w:val="000000" w:themeColor="text1"/>
                <w:sz w:val="20"/>
                <w:szCs w:val="20"/>
              </w:rPr>
            </w:pPr>
          </w:p>
        </w:tc>
        <w:tc>
          <w:tcPr>
            <w:tcW w:w="1413" w:type="dxa"/>
            <w:vAlign w:val="center"/>
          </w:tcPr>
          <w:p w14:paraId="0ADC2DDE" w14:textId="224EC66D" w:rsidR="00747987" w:rsidRPr="008D479B" w:rsidRDefault="00747987" w:rsidP="00747987">
            <w:pPr>
              <w:jc w:val="center"/>
              <w:rPr>
                <w:rFonts w:asciiTheme="majorBidi" w:hAnsiTheme="majorBidi" w:cstheme="majorBidi"/>
                <w:b/>
                <w:bCs/>
                <w:color w:val="000000" w:themeColor="text1"/>
                <w:sz w:val="20"/>
                <w:szCs w:val="20"/>
              </w:rPr>
            </w:pPr>
            <w:r w:rsidRPr="008D479B">
              <w:rPr>
                <w:rFonts w:asciiTheme="majorBidi" w:hAnsiTheme="majorBidi" w:cstheme="majorBidi"/>
                <w:b/>
                <w:bCs/>
                <w:color w:val="000000" w:themeColor="text1"/>
                <w:sz w:val="20"/>
                <w:szCs w:val="20"/>
              </w:rPr>
              <w:t>CPK</w:t>
            </w:r>
          </w:p>
        </w:tc>
        <w:tc>
          <w:tcPr>
            <w:tcW w:w="4649" w:type="dxa"/>
            <w:vAlign w:val="center"/>
          </w:tcPr>
          <w:p w14:paraId="3BD85E76" w14:textId="4536A57F" w:rsidR="00747987" w:rsidRPr="008D479B" w:rsidRDefault="00747987" w:rsidP="00747987">
            <w:pPr>
              <w:jc w:val="center"/>
              <w:rPr>
                <w:rFonts w:asciiTheme="majorBidi" w:hAnsiTheme="majorBidi" w:cstheme="majorBidi"/>
                <w:color w:val="000000" w:themeColor="text1"/>
                <w:sz w:val="20"/>
                <w:szCs w:val="20"/>
              </w:rPr>
            </w:pPr>
            <w:r w:rsidRPr="008D479B">
              <w:rPr>
                <w:rFonts w:asciiTheme="majorBidi" w:hAnsiTheme="majorBidi" w:cstheme="majorBidi"/>
                <w:color w:val="000000" w:themeColor="text1"/>
                <w:sz w:val="20"/>
                <w:szCs w:val="20"/>
              </w:rPr>
              <w:t>Lietuvos Respublikos civilinio proceso kodeksas</w:t>
            </w:r>
          </w:p>
        </w:tc>
      </w:tr>
      <w:tr w:rsidR="007966C9" w:rsidRPr="001D13F3" w14:paraId="2BBAF021" w14:textId="77777777" w:rsidTr="000A2D09">
        <w:trPr>
          <w:trHeight w:val="418"/>
        </w:trPr>
        <w:tc>
          <w:tcPr>
            <w:tcW w:w="704" w:type="dxa"/>
          </w:tcPr>
          <w:p w14:paraId="7961CC88" w14:textId="5526DD0E" w:rsidR="007966C9" w:rsidRPr="008D479B" w:rsidRDefault="007966C9" w:rsidP="00CA0598">
            <w:pPr>
              <w:pStyle w:val="ListParagraph"/>
              <w:numPr>
                <w:ilvl w:val="0"/>
                <w:numId w:val="7"/>
              </w:numPr>
              <w:jc w:val="center"/>
              <w:rPr>
                <w:rFonts w:asciiTheme="majorBidi" w:hAnsiTheme="majorBidi" w:cstheme="majorBidi"/>
                <w:b/>
                <w:bCs/>
                <w:color w:val="000000" w:themeColor="text1"/>
                <w:sz w:val="20"/>
                <w:szCs w:val="20"/>
              </w:rPr>
            </w:pPr>
          </w:p>
        </w:tc>
        <w:tc>
          <w:tcPr>
            <w:tcW w:w="1413" w:type="dxa"/>
            <w:vAlign w:val="center"/>
          </w:tcPr>
          <w:p w14:paraId="37F06FF9" w14:textId="5C94B8C0" w:rsidR="007966C9" w:rsidRPr="008D479B" w:rsidRDefault="006B7562" w:rsidP="00CA0598">
            <w:pPr>
              <w:jc w:val="center"/>
              <w:rPr>
                <w:rFonts w:asciiTheme="majorBidi" w:hAnsiTheme="majorBidi" w:cstheme="majorBidi"/>
                <w:b/>
                <w:bCs/>
                <w:color w:val="000000" w:themeColor="text1"/>
                <w:sz w:val="20"/>
                <w:szCs w:val="20"/>
              </w:rPr>
            </w:pPr>
            <w:r w:rsidRPr="008D479B">
              <w:rPr>
                <w:rFonts w:asciiTheme="majorBidi" w:hAnsiTheme="majorBidi" w:cstheme="majorBidi"/>
                <w:b/>
                <w:bCs/>
                <w:color w:val="000000" w:themeColor="text1"/>
                <w:sz w:val="20"/>
                <w:szCs w:val="20"/>
              </w:rPr>
              <w:t>JANĮ</w:t>
            </w:r>
          </w:p>
        </w:tc>
        <w:tc>
          <w:tcPr>
            <w:tcW w:w="4649" w:type="dxa"/>
          </w:tcPr>
          <w:p w14:paraId="1E0472F5" w14:textId="2EEC4167" w:rsidR="007966C9" w:rsidRPr="008D479B" w:rsidRDefault="00CA0598" w:rsidP="00CA0598">
            <w:pPr>
              <w:jc w:val="center"/>
              <w:rPr>
                <w:rFonts w:asciiTheme="majorBidi" w:hAnsiTheme="majorBidi" w:cstheme="majorBidi"/>
                <w:color w:val="000000" w:themeColor="text1"/>
                <w:sz w:val="20"/>
                <w:szCs w:val="20"/>
              </w:rPr>
            </w:pPr>
            <w:r w:rsidRPr="008D479B">
              <w:rPr>
                <w:rFonts w:asciiTheme="majorBidi" w:hAnsiTheme="majorBidi" w:cstheme="majorBidi"/>
                <w:color w:val="000000" w:themeColor="text1"/>
                <w:sz w:val="20"/>
                <w:szCs w:val="20"/>
              </w:rPr>
              <w:t>Lietuvos Respublikos juridinių asmenų nemokumo įstatymas</w:t>
            </w:r>
          </w:p>
        </w:tc>
      </w:tr>
    </w:tbl>
    <w:p w14:paraId="39BC2EEC" w14:textId="77777777" w:rsidR="00601B65" w:rsidRPr="001D13F3" w:rsidRDefault="00601B65" w:rsidP="00315F03">
      <w:pPr>
        <w:rPr>
          <w:rFonts w:asciiTheme="majorBidi" w:hAnsiTheme="majorBidi" w:cstheme="majorBidi"/>
          <w:b/>
          <w:bCs/>
          <w:color w:val="EE0000"/>
          <w:sz w:val="20"/>
          <w:szCs w:val="20"/>
        </w:rPr>
      </w:pPr>
    </w:p>
    <w:p w14:paraId="35E65056" w14:textId="77777777" w:rsidR="00601B65" w:rsidRPr="001D13F3" w:rsidRDefault="00601B65" w:rsidP="00315F03">
      <w:pPr>
        <w:rPr>
          <w:rFonts w:asciiTheme="majorBidi" w:hAnsiTheme="majorBidi" w:cstheme="majorBidi"/>
          <w:b/>
          <w:bCs/>
          <w:color w:val="EE0000"/>
          <w:sz w:val="20"/>
          <w:szCs w:val="20"/>
        </w:rPr>
      </w:pPr>
    </w:p>
    <w:p w14:paraId="51146806" w14:textId="77777777" w:rsidR="00601B65" w:rsidRPr="001D13F3" w:rsidRDefault="00601B65" w:rsidP="00315F03">
      <w:pPr>
        <w:rPr>
          <w:rFonts w:asciiTheme="majorBidi" w:hAnsiTheme="majorBidi" w:cstheme="majorBidi"/>
          <w:b/>
          <w:bCs/>
          <w:color w:val="EE0000"/>
          <w:sz w:val="20"/>
          <w:szCs w:val="20"/>
        </w:rPr>
      </w:pPr>
    </w:p>
    <w:p w14:paraId="4C00B1FD" w14:textId="77777777" w:rsidR="00601B65" w:rsidRPr="001D13F3" w:rsidRDefault="00601B65" w:rsidP="00315F03">
      <w:pPr>
        <w:rPr>
          <w:rFonts w:asciiTheme="majorBidi" w:hAnsiTheme="majorBidi" w:cstheme="majorBidi"/>
          <w:b/>
          <w:bCs/>
          <w:color w:val="EE0000"/>
          <w:sz w:val="20"/>
          <w:szCs w:val="20"/>
        </w:rPr>
      </w:pPr>
    </w:p>
    <w:p w14:paraId="425FF775" w14:textId="77777777" w:rsidR="00601B65" w:rsidRPr="001D13F3" w:rsidRDefault="00601B65" w:rsidP="00315F03">
      <w:pPr>
        <w:rPr>
          <w:rFonts w:asciiTheme="majorBidi" w:hAnsiTheme="majorBidi" w:cstheme="majorBidi"/>
          <w:b/>
          <w:bCs/>
          <w:color w:val="EE0000"/>
          <w:sz w:val="20"/>
          <w:szCs w:val="20"/>
        </w:rPr>
      </w:pPr>
    </w:p>
    <w:p w14:paraId="3929B635" w14:textId="77777777" w:rsidR="00601B65" w:rsidRPr="001D13F3" w:rsidRDefault="00601B65" w:rsidP="00315F03">
      <w:pPr>
        <w:rPr>
          <w:rFonts w:asciiTheme="majorBidi" w:hAnsiTheme="majorBidi" w:cstheme="majorBidi"/>
          <w:b/>
          <w:bCs/>
          <w:color w:val="EE0000"/>
          <w:sz w:val="20"/>
          <w:szCs w:val="20"/>
        </w:rPr>
      </w:pPr>
    </w:p>
    <w:p w14:paraId="7EF50E5A" w14:textId="77777777" w:rsidR="00601B65" w:rsidRPr="001D13F3" w:rsidRDefault="00601B65" w:rsidP="00315F03">
      <w:pPr>
        <w:rPr>
          <w:rFonts w:asciiTheme="majorBidi" w:hAnsiTheme="majorBidi" w:cstheme="majorBidi"/>
          <w:b/>
          <w:bCs/>
          <w:color w:val="EE0000"/>
          <w:sz w:val="20"/>
          <w:szCs w:val="20"/>
        </w:rPr>
      </w:pPr>
    </w:p>
    <w:p w14:paraId="6EB20AC3" w14:textId="77777777" w:rsidR="00601B65" w:rsidRPr="001D13F3" w:rsidRDefault="00601B65" w:rsidP="00315F03">
      <w:pPr>
        <w:rPr>
          <w:rFonts w:asciiTheme="majorBidi" w:hAnsiTheme="majorBidi" w:cstheme="majorBidi"/>
          <w:b/>
          <w:bCs/>
          <w:color w:val="EE0000"/>
          <w:sz w:val="20"/>
          <w:szCs w:val="20"/>
        </w:rPr>
      </w:pPr>
    </w:p>
    <w:p w14:paraId="0F7CE15E" w14:textId="77777777" w:rsidR="00601B65" w:rsidRPr="001D13F3" w:rsidRDefault="00601B65" w:rsidP="00315F03">
      <w:pPr>
        <w:rPr>
          <w:rFonts w:asciiTheme="majorBidi" w:hAnsiTheme="majorBidi" w:cstheme="majorBidi"/>
          <w:b/>
          <w:bCs/>
          <w:color w:val="EE0000"/>
          <w:sz w:val="20"/>
          <w:szCs w:val="20"/>
        </w:rPr>
      </w:pPr>
    </w:p>
    <w:p w14:paraId="2B3AF321" w14:textId="77777777" w:rsidR="00601B65" w:rsidRPr="001D13F3" w:rsidRDefault="00601B65" w:rsidP="00315F03">
      <w:pPr>
        <w:rPr>
          <w:rFonts w:asciiTheme="majorBidi" w:hAnsiTheme="majorBidi" w:cstheme="majorBidi"/>
          <w:b/>
          <w:bCs/>
          <w:color w:val="EE0000"/>
          <w:sz w:val="20"/>
          <w:szCs w:val="20"/>
        </w:rPr>
      </w:pPr>
    </w:p>
    <w:p w14:paraId="57B4895A" w14:textId="77777777" w:rsidR="00601B65" w:rsidRPr="001D13F3" w:rsidRDefault="00601B65" w:rsidP="00315F03">
      <w:pPr>
        <w:rPr>
          <w:rFonts w:asciiTheme="majorBidi" w:hAnsiTheme="majorBidi" w:cstheme="majorBidi"/>
          <w:b/>
          <w:bCs/>
          <w:color w:val="EE0000"/>
          <w:sz w:val="20"/>
          <w:szCs w:val="20"/>
        </w:rPr>
      </w:pPr>
    </w:p>
    <w:p w14:paraId="3A6C3C28" w14:textId="77777777" w:rsidR="00601B65" w:rsidRPr="001D13F3" w:rsidRDefault="00601B65" w:rsidP="00315F03">
      <w:pPr>
        <w:rPr>
          <w:rFonts w:asciiTheme="majorBidi" w:hAnsiTheme="majorBidi" w:cstheme="majorBidi"/>
          <w:b/>
          <w:bCs/>
          <w:color w:val="EE0000"/>
          <w:sz w:val="20"/>
          <w:szCs w:val="20"/>
        </w:rPr>
      </w:pPr>
    </w:p>
    <w:p w14:paraId="470B908A" w14:textId="77777777" w:rsidR="00601B65" w:rsidRPr="001D13F3" w:rsidRDefault="00601B65" w:rsidP="00315F03">
      <w:pPr>
        <w:rPr>
          <w:rFonts w:asciiTheme="majorBidi" w:hAnsiTheme="majorBidi" w:cstheme="majorBidi"/>
          <w:b/>
          <w:bCs/>
          <w:color w:val="EE0000"/>
          <w:sz w:val="20"/>
          <w:szCs w:val="20"/>
        </w:rPr>
      </w:pPr>
    </w:p>
    <w:p w14:paraId="314CE2F3" w14:textId="77777777" w:rsidR="00601B65" w:rsidRPr="001D13F3" w:rsidRDefault="00601B65" w:rsidP="00315F03">
      <w:pPr>
        <w:rPr>
          <w:rFonts w:asciiTheme="majorBidi" w:hAnsiTheme="majorBidi" w:cstheme="majorBidi"/>
          <w:b/>
          <w:bCs/>
          <w:color w:val="EE0000"/>
          <w:sz w:val="20"/>
          <w:szCs w:val="20"/>
        </w:rPr>
      </w:pPr>
    </w:p>
    <w:p w14:paraId="6140E256" w14:textId="77777777" w:rsidR="00601B65" w:rsidRPr="001D13F3" w:rsidRDefault="00601B65" w:rsidP="00315F03">
      <w:pPr>
        <w:rPr>
          <w:rFonts w:asciiTheme="majorBidi" w:hAnsiTheme="majorBidi" w:cstheme="majorBidi"/>
          <w:b/>
          <w:bCs/>
          <w:color w:val="EE0000"/>
          <w:sz w:val="20"/>
          <w:szCs w:val="20"/>
        </w:rPr>
      </w:pPr>
    </w:p>
    <w:p w14:paraId="2AA9DF9B" w14:textId="77777777" w:rsidR="00601B65" w:rsidRPr="001D13F3" w:rsidRDefault="00601B65" w:rsidP="00315F03">
      <w:pPr>
        <w:rPr>
          <w:rFonts w:asciiTheme="majorBidi" w:hAnsiTheme="majorBidi" w:cstheme="majorBidi"/>
          <w:b/>
          <w:bCs/>
          <w:color w:val="EE0000"/>
          <w:sz w:val="20"/>
          <w:szCs w:val="20"/>
        </w:rPr>
      </w:pPr>
    </w:p>
    <w:p w14:paraId="1B76A67F" w14:textId="77777777" w:rsidR="00601B65" w:rsidRPr="001D13F3" w:rsidRDefault="00601B65" w:rsidP="00315F03">
      <w:pPr>
        <w:rPr>
          <w:rFonts w:asciiTheme="majorBidi" w:hAnsiTheme="majorBidi" w:cstheme="majorBidi"/>
          <w:b/>
          <w:bCs/>
          <w:color w:val="EE0000"/>
          <w:sz w:val="20"/>
          <w:szCs w:val="20"/>
        </w:rPr>
      </w:pPr>
    </w:p>
    <w:p w14:paraId="31DDF2C6" w14:textId="77777777" w:rsidR="00601B65" w:rsidRPr="001D13F3" w:rsidRDefault="00601B65" w:rsidP="00315F03">
      <w:pPr>
        <w:rPr>
          <w:rFonts w:asciiTheme="majorBidi" w:hAnsiTheme="majorBidi" w:cstheme="majorBidi"/>
          <w:b/>
          <w:bCs/>
          <w:color w:val="EE0000"/>
          <w:sz w:val="20"/>
          <w:szCs w:val="20"/>
        </w:rPr>
      </w:pPr>
    </w:p>
    <w:p w14:paraId="566516FC" w14:textId="77777777" w:rsidR="00601B65" w:rsidRPr="001D13F3" w:rsidRDefault="00601B65" w:rsidP="00315F03">
      <w:pPr>
        <w:rPr>
          <w:rFonts w:asciiTheme="majorBidi" w:hAnsiTheme="majorBidi" w:cstheme="majorBidi"/>
          <w:b/>
          <w:bCs/>
          <w:color w:val="EE0000"/>
          <w:sz w:val="20"/>
          <w:szCs w:val="20"/>
        </w:rPr>
      </w:pPr>
    </w:p>
    <w:p w14:paraId="614EEC4A" w14:textId="77777777" w:rsidR="00601B65" w:rsidRPr="001D13F3" w:rsidRDefault="00601B65" w:rsidP="00315F03">
      <w:pPr>
        <w:rPr>
          <w:rFonts w:asciiTheme="majorBidi" w:hAnsiTheme="majorBidi" w:cstheme="majorBidi"/>
          <w:b/>
          <w:bCs/>
          <w:color w:val="EE0000"/>
          <w:sz w:val="20"/>
          <w:szCs w:val="20"/>
        </w:rPr>
      </w:pPr>
    </w:p>
    <w:p w14:paraId="41F86C7F" w14:textId="77777777" w:rsidR="00601B65" w:rsidRPr="001D13F3" w:rsidRDefault="00601B65" w:rsidP="00315F03">
      <w:pPr>
        <w:rPr>
          <w:rFonts w:asciiTheme="majorBidi" w:hAnsiTheme="majorBidi" w:cstheme="majorBidi"/>
          <w:b/>
          <w:bCs/>
          <w:color w:val="EE0000"/>
          <w:sz w:val="20"/>
          <w:szCs w:val="20"/>
        </w:rPr>
      </w:pPr>
    </w:p>
    <w:p w14:paraId="79630C93" w14:textId="77777777" w:rsidR="00601B65" w:rsidRPr="001D13F3" w:rsidRDefault="00601B65" w:rsidP="00315F03">
      <w:pPr>
        <w:rPr>
          <w:rFonts w:asciiTheme="majorBidi" w:hAnsiTheme="majorBidi" w:cstheme="majorBidi"/>
          <w:b/>
          <w:bCs/>
          <w:color w:val="EE0000"/>
          <w:sz w:val="20"/>
          <w:szCs w:val="20"/>
        </w:rPr>
      </w:pPr>
    </w:p>
    <w:p w14:paraId="0BFE0944" w14:textId="77777777" w:rsidR="00601B65" w:rsidRPr="001D13F3" w:rsidRDefault="00601B65" w:rsidP="00315F03">
      <w:pPr>
        <w:rPr>
          <w:rFonts w:asciiTheme="majorBidi" w:hAnsiTheme="majorBidi" w:cstheme="majorBidi"/>
          <w:b/>
          <w:bCs/>
          <w:color w:val="EE0000"/>
          <w:sz w:val="20"/>
          <w:szCs w:val="20"/>
        </w:rPr>
      </w:pPr>
    </w:p>
    <w:p w14:paraId="0836A5CA" w14:textId="77777777" w:rsidR="00601B65" w:rsidRPr="001D13F3" w:rsidRDefault="00601B65" w:rsidP="00315F03">
      <w:pPr>
        <w:rPr>
          <w:rFonts w:asciiTheme="majorBidi" w:hAnsiTheme="majorBidi" w:cstheme="majorBidi"/>
          <w:b/>
          <w:bCs/>
          <w:color w:val="EE0000"/>
          <w:sz w:val="20"/>
          <w:szCs w:val="20"/>
        </w:rPr>
      </w:pPr>
    </w:p>
    <w:p w14:paraId="3B79E278" w14:textId="77777777" w:rsidR="00601B65" w:rsidRPr="001D13F3" w:rsidRDefault="00601B65" w:rsidP="00315F03">
      <w:pPr>
        <w:rPr>
          <w:rFonts w:asciiTheme="majorBidi" w:hAnsiTheme="majorBidi" w:cstheme="majorBidi"/>
          <w:b/>
          <w:bCs/>
          <w:color w:val="EE0000"/>
          <w:sz w:val="20"/>
          <w:szCs w:val="20"/>
        </w:rPr>
      </w:pPr>
    </w:p>
    <w:sdt>
      <w:sdtPr>
        <w:rPr>
          <w:rFonts w:asciiTheme="minorHAnsi" w:eastAsiaTheme="minorHAnsi" w:hAnsiTheme="minorHAnsi" w:cstheme="minorBidi"/>
          <w:color w:val="EE0000"/>
          <w:sz w:val="22"/>
          <w:szCs w:val="22"/>
          <w:lang w:eastAsia="en-US"/>
        </w:rPr>
        <w:id w:val="603621139"/>
        <w:docPartObj>
          <w:docPartGallery w:val="Table of Contents"/>
          <w:docPartUnique/>
        </w:docPartObj>
      </w:sdtPr>
      <w:sdtEndPr>
        <w:rPr>
          <w:b/>
          <w:bCs/>
          <w:noProof/>
        </w:rPr>
      </w:sdtEndPr>
      <w:sdtContent>
        <w:p w14:paraId="34FEE67E" w14:textId="545D93ED" w:rsidR="003E6555" w:rsidRPr="00446907" w:rsidRDefault="003C3627">
          <w:pPr>
            <w:pStyle w:val="TOCHeading"/>
            <w:rPr>
              <w:rFonts w:asciiTheme="majorBidi" w:hAnsiTheme="majorBidi"/>
              <w:color w:val="000000" w:themeColor="text1"/>
              <w:sz w:val="28"/>
              <w:szCs w:val="28"/>
            </w:rPr>
          </w:pPr>
          <w:r w:rsidRPr="00446907">
            <w:rPr>
              <w:rFonts w:asciiTheme="majorBidi" w:hAnsiTheme="majorBidi"/>
              <w:color w:val="000000" w:themeColor="text1"/>
              <w:sz w:val="28"/>
              <w:szCs w:val="28"/>
            </w:rPr>
            <w:t>Turinys</w:t>
          </w:r>
        </w:p>
        <w:p w14:paraId="2C2DBEBA" w14:textId="77777777" w:rsidR="003C3627" w:rsidRPr="001D13F3" w:rsidRDefault="003C3627" w:rsidP="009C6CC5">
          <w:pPr>
            <w:jc w:val="center"/>
            <w:rPr>
              <w:color w:val="EE0000"/>
              <w:lang w:eastAsia="lt-LT"/>
            </w:rPr>
          </w:pPr>
        </w:p>
        <w:p w14:paraId="4E46D04E" w14:textId="300ADFDF" w:rsidR="003E6555" w:rsidRPr="001D13F3" w:rsidRDefault="003E6555" w:rsidP="00C21F21">
          <w:pPr>
            <w:pStyle w:val="TOC1"/>
            <w:rPr>
              <w:rFonts w:eastAsiaTheme="minorEastAsia"/>
              <w:color w:val="EE0000"/>
              <w:kern w:val="2"/>
              <w:lang w:val="en-US"/>
              <w14:ligatures w14:val="standardContextual"/>
            </w:rPr>
          </w:pPr>
          <w:r w:rsidRPr="001D13F3">
            <w:rPr>
              <w:noProof w:val="0"/>
              <w:color w:val="EE0000"/>
            </w:rPr>
            <w:fldChar w:fldCharType="begin"/>
          </w:r>
          <w:r w:rsidRPr="001D13F3">
            <w:rPr>
              <w:color w:val="EE0000"/>
            </w:rPr>
            <w:instrText xml:space="preserve"> TOC \o "1-3" \h \z \u </w:instrText>
          </w:r>
          <w:r w:rsidRPr="001D13F3">
            <w:rPr>
              <w:noProof w:val="0"/>
              <w:color w:val="EE0000"/>
            </w:rPr>
            <w:fldChar w:fldCharType="separate"/>
          </w:r>
          <w:hyperlink w:anchor="_Toc233882976" w:history="1">
            <w:r w:rsidRPr="00536B49">
              <w:rPr>
                <w:rStyle w:val="Hyperlink"/>
                <w:color w:val="000000" w:themeColor="text1"/>
              </w:rPr>
              <w:t>I.</w:t>
            </w:r>
            <w:r w:rsidRPr="001D13F3">
              <w:rPr>
                <w:rFonts w:eastAsiaTheme="minorEastAsia"/>
                <w:color w:val="EE0000"/>
                <w:kern w:val="2"/>
                <w:lang w:val="en-US"/>
                <w14:ligatures w14:val="standardContextual"/>
              </w:rPr>
              <w:tab/>
            </w:r>
            <w:r w:rsidRPr="00536B49">
              <w:rPr>
                <w:rStyle w:val="Hyperlink"/>
                <w:color w:val="000000" w:themeColor="text1"/>
              </w:rPr>
              <w:t>LAT nutarčių juridinių asmenų bankroto klausimais apžvalga</w:t>
            </w:r>
            <w:r w:rsidRPr="00536B49">
              <w:rPr>
                <w:webHidden/>
              </w:rPr>
              <w:tab/>
            </w:r>
            <w:r w:rsidRPr="00536B49">
              <w:rPr>
                <w:webHidden/>
              </w:rPr>
              <w:fldChar w:fldCharType="begin"/>
            </w:r>
            <w:r w:rsidRPr="00536B49">
              <w:rPr>
                <w:webHidden/>
              </w:rPr>
              <w:instrText xml:space="preserve"> PAGEREF _Toc233882976 \h </w:instrText>
            </w:r>
            <w:r w:rsidRPr="00536B49">
              <w:rPr>
                <w:webHidden/>
              </w:rPr>
            </w:r>
            <w:r w:rsidRPr="00536B49">
              <w:rPr>
                <w:webHidden/>
              </w:rPr>
              <w:fldChar w:fldCharType="separate"/>
            </w:r>
            <w:r w:rsidRPr="00536B49">
              <w:rPr>
                <w:webHidden/>
              </w:rPr>
              <w:t>4</w:t>
            </w:r>
            <w:r w:rsidRPr="00536B49">
              <w:rPr>
                <w:webHidden/>
              </w:rPr>
              <w:fldChar w:fldCharType="end"/>
            </w:r>
          </w:hyperlink>
        </w:p>
        <w:p w14:paraId="0DB22AE3" w14:textId="0D772C38" w:rsidR="003E6555" w:rsidRPr="007B5F75" w:rsidRDefault="003E6555" w:rsidP="00727CD0">
          <w:pPr>
            <w:pStyle w:val="TOC2"/>
            <w:rPr>
              <w:rFonts w:eastAsiaTheme="minorEastAsia"/>
              <w:kern w:val="2"/>
              <w:lang w:val="en-US"/>
              <w14:ligatures w14:val="standardContextual"/>
            </w:rPr>
          </w:pPr>
          <w:hyperlink w:anchor="_Toc233882977" w:history="1">
            <w:r w:rsidRPr="007B5F75">
              <w:rPr>
                <w:rStyle w:val="Hyperlink"/>
                <w:color w:val="000000" w:themeColor="text1"/>
              </w:rPr>
              <w:t>1.</w:t>
            </w:r>
            <w:r w:rsidRPr="007B5F75">
              <w:rPr>
                <w:rFonts w:eastAsiaTheme="minorEastAsia"/>
                <w:kern w:val="2"/>
                <w:lang w:val="en-US"/>
                <w14:ligatures w14:val="standardContextual"/>
              </w:rPr>
              <w:tab/>
            </w:r>
            <w:r w:rsidRPr="007B5F75">
              <w:rPr>
                <w:rStyle w:val="Hyperlink"/>
                <w:color w:val="000000" w:themeColor="text1"/>
              </w:rPr>
              <w:t>Dėl</w:t>
            </w:r>
            <w:r w:rsidR="007B5F75" w:rsidRPr="007B5F75">
              <w:rPr>
                <w:rStyle w:val="Hyperlink"/>
                <w:color w:val="000000" w:themeColor="text1"/>
              </w:rPr>
              <w:t xml:space="preserve"> maksimaliąją hipoteką viršijančios prievolių dalies išie</w:t>
            </w:r>
            <w:r w:rsidR="0028348D">
              <w:rPr>
                <w:rStyle w:val="Hyperlink"/>
                <w:color w:val="000000" w:themeColor="text1"/>
              </w:rPr>
              <w:t>š</w:t>
            </w:r>
            <w:r w:rsidR="007B5F75" w:rsidRPr="007B5F75">
              <w:rPr>
                <w:rStyle w:val="Hyperlink"/>
                <w:color w:val="000000" w:themeColor="text1"/>
              </w:rPr>
              <w:t>kojimo</w:t>
            </w:r>
            <w:r w:rsidRPr="007B5F75">
              <w:rPr>
                <w:webHidden/>
              </w:rPr>
              <w:tab/>
            </w:r>
            <w:r w:rsidRPr="007B5F75">
              <w:rPr>
                <w:webHidden/>
              </w:rPr>
              <w:fldChar w:fldCharType="begin"/>
            </w:r>
            <w:r w:rsidRPr="007B5F75">
              <w:rPr>
                <w:webHidden/>
              </w:rPr>
              <w:instrText xml:space="preserve"> PAGEREF _Toc233882977 \h </w:instrText>
            </w:r>
            <w:r w:rsidRPr="007B5F75">
              <w:rPr>
                <w:webHidden/>
              </w:rPr>
            </w:r>
            <w:r w:rsidRPr="007B5F75">
              <w:rPr>
                <w:webHidden/>
              </w:rPr>
              <w:fldChar w:fldCharType="separate"/>
            </w:r>
            <w:r w:rsidRPr="007B5F75">
              <w:rPr>
                <w:webHidden/>
              </w:rPr>
              <w:t>4</w:t>
            </w:r>
            <w:r w:rsidRPr="007B5F75">
              <w:rPr>
                <w:webHidden/>
              </w:rPr>
              <w:fldChar w:fldCharType="end"/>
            </w:r>
          </w:hyperlink>
        </w:p>
        <w:p w14:paraId="517F63B9" w14:textId="25C292DA" w:rsidR="003E6555" w:rsidRPr="00C21F21" w:rsidRDefault="003E6555" w:rsidP="00C21F21">
          <w:pPr>
            <w:pStyle w:val="TOC1"/>
            <w:rPr>
              <w:rFonts w:eastAsiaTheme="minorEastAsia"/>
              <w:kern w:val="2"/>
              <w:lang w:val="en-US"/>
              <w14:ligatures w14:val="standardContextual"/>
            </w:rPr>
          </w:pPr>
          <w:hyperlink w:anchor="_Toc233882981" w:history="1">
            <w:r w:rsidRPr="00C21F21">
              <w:rPr>
                <w:rStyle w:val="Hyperlink"/>
                <w:color w:val="000000" w:themeColor="text1"/>
              </w:rPr>
              <w:t>II.</w:t>
            </w:r>
            <w:r w:rsidRPr="00C21F21">
              <w:rPr>
                <w:rFonts w:eastAsiaTheme="minorEastAsia"/>
                <w:kern w:val="2"/>
                <w:lang w:val="en-US"/>
                <w14:ligatures w14:val="standardContextual"/>
              </w:rPr>
              <w:tab/>
            </w:r>
            <w:r w:rsidRPr="00C21F21">
              <w:rPr>
                <w:rStyle w:val="Hyperlink"/>
                <w:color w:val="000000" w:themeColor="text1"/>
              </w:rPr>
              <w:t>LApT nutarčių juridinių asmenų bankroto klausimais apžvalg</w:t>
            </w:r>
            <w:r w:rsidR="00C21F21">
              <w:rPr>
                <w:rStyle w:val="Hyperlink"/>
                <w:color w:val="000000" w:themeColor="text1"/>
              </w:rPr>
              <w:t>a</w:t>
            </w:r>
            <w:r w:rsidRPr="00C21F21">
              <w:rPr>
                <w:webHidden/>
              </w:rPr>
              <w:tab/>
            </w:r>
            <w:r w:rsidR="00C21F21">
              <w:rPr>
                <w:webHidden/>
              </w:rPr>
              <w:t>5</w:t>
            </w:r>
          </w:hyperlink>
        </w:p>
        <w:p w14:paraId="1F2184CE" w14:textId="0D06AA15" w:rsidR="003E6555" w:rsidRPr="00A900EB" w:rsidRDefault="003E6555" w:rsidP="00727CD0">
          <w:pPr>
            <w:pStyle w:val="TOC2"/>
            <w:rPr>
              <w:rFonts w:eastAsiaTheme="minorEastAsia"/>
              <w:kern w:val="2"/>
              <w:lang w:val="en-US"/>
              <w14:ligatures w14:val="standardContextual"/>
            </w:rPr>
          </w:pPr>
          <w:hyperlink w:anchor="_Toc233882982" w:history="1">
            <w:r w:rsidRPr="00A900EB">
              <w:rPr>
                <w:rStyle w:val="Hyperlink"/>
                <w:color w:val="000000" w:themeColor="text1"/>
              </w:rPr>
              <w:t>1.</w:t>
            </w:r>
            <w:r w:rsidRPr="00A900EB">
              <w:rPr>
                <w:rFonts w:eastAsiaTheme="minorEastAsia"/>
                <w:kern w:val="2"/>
                <w:lang w:val="en-US"/>
                <w14:ligatures w14:val="standardContextual"/>
              </w:rPr>
              <w:tab/>
            </w:r>
            <w:r w:rsidRPr="00A900EB">
              <w:rPr>
                <w:rStyle w:val="Hyperlink"/>
                <w:color w:val="000000" w:themeColor="text1"/>
              </w:rPr>
              <w:t xml:space="preserve">Dėl </w:t>
            </w:r>
            <w:r w:rsidR="009D420D" w:rsidRPr="00A900EB">
              <w:rPr>
                <w:rStyle w:val="Hyperlink"/>
                <w:color w:val="000000" w:themeColor="text1"/>
              </w:rPr>
              <w:t>turto pardavimo tvarkos nustatymo</w:t>
            </w:r>
            <w:r w:rsidRPr="00A900EB">
              <w:rPr>
                <w:webHidden/>
              </w:rPr>
              <w:tab/>
            </w:r>
            <w:r w:rsidR="009D420D" w:rsidRPr="00A900EB">
              <w:rPr>
                <w:webHidden/>
              </w:rPr>
              <w:t>5</w:t>
            </w:r>
          </w:hyperlink>
        </w:p>
        <w:p w14:paraId="63F08915" w14:textId="5CE189C6" w:rsidR="003E6555" w:rsidRPr="003F550B" w:rsidRDefault="003E6555" w:rsidP="00727CD0">
          <w:pPr>
            <w:pStyle w:val="TOC2"/>
            <w:rPr>
              <w:rFonts w:eastAsiaTheme="minorEastAsia"/>
              <w:kern w:val="2"/>
              <w:lang w:val="en-US"/>
              <w14:ligatures w14:val="standardContextual"/>
            </w:rPr>
          </w:pPr>
          <w:hyperlink w:anchor="_Toc233882983" w:history="1">
            <w:r w:rsidRPr="003F550B">
              <w:rPr>
                <w:rStyle w:val="Hyperlink"/>
                <w:color w:val="000000" w:themeColor="text1"/>
              </w:rPr>
              <w:t>2.</w:t>
            </w:r>
            <w:r w:rsidRPr="003F550B">
              <w:rPr>
                <w:rFonts w:eastAsiaTheme="minorEastAsia"/>
                <w:kern w:val="2"/>
                <w:lang w:val="en-US"/>
                <w14:ligatures w14:val="standardContextual"/>
              </w:rPr>
              <w:tab/>
            </w:r>
            <w:r w:rsidRPr="003F550B">
              <w:rPr>
                <w:rStyle w:val="Hyperlink"/>
                <w:color w:val="000000" w:themeColor="text1"/>
              </w:rPr>
              <w:t xml:space="preserve">Dėl </w:t>
            </w:r>
            <w:r w:rsidR="00EC0C00" w:rsidRPr="003F550B">
              <w:rPr>
                <w:rStyle w:val="Hyperlink"/>
                <w:color w:val="000000" w:themeColor="text1"/>
              </w:rPr>
              <w:t>juridinio asmens veikos tyrimo instituto taikymo pagrindo</w:t>
            </w:r>
            <w:r w:rsidRPr="003F550B">
              <w:rPr>
                <w:webHidden/>
              </w:rPr>
              <w:tab/>
            </w:r>
            <w:r w:rsidR="00EC0C00" w:rsidRPr="003F550B">
              <w:rPr>
                <w:webHidden/>
              </w:rPr>
              <w:t>5</w:t>
            </w:r>
          </w:hyperlink>
        </w:p>
        <w:p w14:paraId="1DC7D7F4" w14:textId="362A9E89" w:rsidR="003E6555" w:rsidRPr="001709D2" w:rsidRDefault="003E6555" w:rsidP="00727CD0">
          <w:pPr>
            <w:pStyle w:val="TOC2"/>
            <w:rPr>
              <w:rFonts w:eastAsiaTheme="minorEastAsia"/>
              <w:kern w:val="2"/>
              <w:lang w:val="en-US"/>
              <w14:ligatures w14:val="standardContextual"/>
            </w:rPr>
          </w:pPr>
          <w:hyperlink w:anchor="_Toc233882984" w:history="1">
            <w:r w:rsidRPr="001709D2">
              <w:rPr>
                <w:rStyle w:val="Hyperlink"/>
                <w:color w:val="000000" w:themeColor="text1"/>
              </w:rPr>
              <w:t>3.</w:t>
            </w:r>
            <w:r w:rsidRPr="001709D2">
              <w:rPr>
                <w:rFonts w:eastAsiaTheme="minorEastAsia"/>
                <w:kern w:val="2"/>
                <w:lang w:val="en-US"/>
                <w14:ligatures w14:val="standardContextual"/>
              </w:rPr>
              <w:tab/>
            </w:r>
            <w:r w:rsidRPr="001709D2">
              <w:rPr>
                <w:rStyle w:val="Hyperlink"/>
                <w:color w:val="000000" w:themeColor="text1"/>
              </w:rPr>
              <w:t xml:space="preserve">Dėl </w:t>
            </w:r>
            <w:r w:rsidR="00275872" w:rsidRPr="001709D2">
              <w:rPr>
                <w:rStyle w:val="Hyperlink"/>
                <w:color w:val="000000" w:themeColor="text1"/>
              </w:rPr>
              <w:t>nemokumo administratoriaus atstatydinimo pagrįstumo</w:t>
            </w:r>
            <w:r w:rsidRPr="001709D2">
              <w:rPr>
                <w:webHidden/>
              </w:rPr>
              <w:tab/>
            </w:r>
            <w:r w:rsidR="00314882" w:rsidRPr="001709D2">
              <w:rPr>
                <w:webHidden/>
              </w:rPr>
              <w:t>6</w:t>
            </w:r>
          </w:hyperlink>
        </w:p>
        <w:p w14:paraId="16B45FA5" w14:textId="45F94FC6" w:rsidR="003E6555" w:rsidRPr="001709D2" w:rsidRDefault="003E6555" w:rsidP="00727CD0">
          <w:pPr>
            <w:pStyle w:val="TOC2"/>
            <w:rPr>
              <w:rFonts w:eastAsiaTheme="minorEastAsia"/>
              <w:kern w:val="2"/>
              <w:lang w:val="en-US"/>
              <w14:ligatures w14:val="standardContextual"/>
            </w:rPr>
          </w:pPr>
          <w:hyperlink w:anchor="_Toc233882985" w:history="1">
            <w:r w:rsidRPr="001709D2">
              <w:rPr>
                <w:rStyle w:val="Hyperlink"/>
                <w:color w:val="000000" w:themeColor="text1"/>
              </w:rPr>
              <w:t>4.</w:t>
            </w:r>
            <w:r w:rsidRPr="001709D2">
              <w:rPr>
                <w:rFonts w:eastAsiaTheme="minorEastAsia"/>
                <w:kern w:val="2"/>
                <w:lang w:val="en-US"/>
                <w14:ligatures w14:val="standardContextual"/>
              </w:rPr>
              <w:tab/>
            </w:r>
            <w:r w:rsidRPr="001709D2">
              <w:rPr>
                <w:rStyle w:val="Hyperlink"/>
                <w:color w:val="000000" w:themeColor="text1"/>
              </w:rPr>
              <w:t xml:space="preserve">Dėl </w:t>
            </w:r>
            <w:r w:rsidR="00314882" w:rsidRPr="001709D2">
              <w:rPr>
                <w:rStyle w:val="Hyperlink"/>
                <w:color w:val="000000" w:themeColor="text1"/>
              </w:rPr>
              <w:t>kreditorinio reikalavimo pagrįstumo</w:t>
            </w:r>
            <w:r w:rsidRPr="001709D2">
              <w:rPr>
                <w:webHidden/>
              </w:rPr>
              <w:tab/>
            </w:r>
            <w:r w:rsidR="00C03C5B" w:rsidRPr="001709D2">
              <w:rPr>
                <w:webHidden/>
              </w:rPr>
              <w:t>7</w:t>
            </w:r>
          </w:hyperlink>
        </w:p>
        <w:p w14:paraId="20C5F2AB" w14:textId="2019BDE9" w:rsidR="003E6555" w:rsidRPr="003B6BC3" w:rsidRDefault="003E6555" w:rsidP="00727CD0">
          <w:pPr>
            <w:pStyle w:val="TOC2"/>
            <w:rPr>
              <w:rFonts w:eastAsiaTheme="minorEastAsia"/>
              <w:kern w:val="2"/>
              <w:lang w:val="en-US"/>
              <w14:ligatures w14:val="standardContextual"/>
            </w:rPr>
          </w:pPr>
          <w:hyperlink w:anchor="_Toc233882986" w:history="1">
            <w:r w:rsidRPr="003B6BC3">
              <w:rPr>
                <w:rStyle w:val="Hyperlink"/>
                <w:color w:val="000000" w:themeColor="text1"/>
              </w:rPr>
              <w:t>5.</w:t>
            </w:r>
            <w:r w:rsidRPr="003B6BC3">
              <w:rPr>
                <w:rFonts w:eastAsiaTheme="minorEastAsia"/>
                <w:kern w:val="2"/>
                <w:lang w:val="en-US"/>
                <w14:ligatures w14:val="standardContextual"/>
              </w:rPr>
              <w:tab/>
            </w:r>
            <w:r w:rsidRPr="003B6BC3">
              <w:rPr>
                <w:rStyle w:val="Hyperlink"/>
                <w:color w:val="000000" w:themeColor="text1"/>
              </w:rPr>
              <w:t xml:space="preserve">Dėl </w:t>
            </w:r>
            <w:r w:rsidR="001709D2" w:rsidRPr="003B6BC3">
              <w:rPr>
                <w:rStyle w:val="Hyperlink"/>
                <w:color w:val="000000" w:themeColor="text1"/>
              </w:rPr>
              <w:t>kreditorių susirinkimo sprendimų</w:t>
            </w:r>
            <w:r w:rsidRPr="003B6BC3">
              <w:rPr>
                <w:webHidden/>
              </w:rPr>
              <w:tab/>
            </w:r>
            <w:r w:rsidR="001709D2" w:rsidRPr="003B6BC3">
              <w:rPr>
                <w:webHidden/>
              </w:rPr>
              <w:t>7</w:t>
            </w:r>
          </w:hyperlink>
        </w:p>
        <w:p w14:paraId="64FB46A9" w14:textId="463EA4DA" w:rsidR="003E6555" w:rsidRPr="003B6BC3" w:rsidRDefault="003E6555" w:rsidP="00727CD0">
          <w:pPr>
            <w:pStyle w:val="TOC2"/>
            <w:rPr>
              <w:rFonts w:eastAsiaTheme="minorEastAsia"/>
              <w:kern w:val="2"/>
              <w:lang w:val="en-US"/>
              <w14:ligatures w14:val="standardContextual"/>
            </w:rPr>
          </w:pPr>
          <w:hyperlink w:anchor="_Toc233882987" w:history="1">
            <w:r w:rsidRPr="003B6BC3">
              <w:rPr>
                <w:rStyle w:val="Hyperlink"/>
                <w:color w:val="000000" w:themeColor="text1"/>
              </w:rPr>
              <w:t>6.</w:t>
            </w:r>
            <w:r w:rsidRPr="003B6BC3">
              <w:rPr>
                <w:rFonts w:eastAsiaTheme="minorEastAsia"/>
                <w:kern w:val="2"/>
                <w:lang w:val="en-US"/>
                <w14:ligatures w14:val="standardContextual"/>
              </w:rPr>
              <w:tab/>
            </w:r>
            <w:r w:rsidRPr="003B6BC3">
              <w:rPr>
                <w:rStyle w:val="Hyperlink"/>
                <w:color w:val="000000" w:themeColor="text1"/>
              </w:rPr>
              <w:t xml:space="preserve">Dėl </w:t>
            </w:r>
            <w:r w:rsidR="00253CAF" w:rsidRPr="003B6BC3">
              <w:rPr>
                <w:rStyle w:val="Hyperlink"/>
                <w:color w:val="000000" w:themeColor="text1"/>
              </w:rPr>
              <w:t>finansinio reikalavimo tenkinimo eiliškumo</w:t>
            </w:r>
            <w:r w:rsidRPr="003B6BC3">
              <w:rPr>
                <w:webHidden/>
              </w:rPr>
              <w:tab/>
            </w:r>
            <w:r w:rsidR="007D23CE" w:rsidRPr="003B6BC3">
              <w:rPr>
                <w:webHidden/>
              </w:rPr>
              <w:t>8</w:t>
            </w:r>
          </w:hyperlink>
        </w:p>
        <w:p w14:paraId="16D2B89C" w14:textId="4B6A528D" w:rsidR="003E6555" w:rsidRPr="00675139" w:rsidRDefault="003E6555" w:rsidP="00727CD0">
          <w:pPr>
            <w:pStyle w:val="TOC2"/>
            <w:rPr>
              <w:rFonts w:eastAsiaTheme="minorEastAsia"/>
              <w:kern w:val="2"/>
              <w:lang w:val="en-US"/>
              <w14:ligatures w14:val="standardContextual"/>
            </w:rPr>
          </w:pPr>
          <w:hyperlink w:anchor="_Toc233882988" w:history="1">
            <w:r w:rsidRPr="00675139">
              <w:rPr>
                <w:rStyle w:val="Hyperlink"/>
                <w:color w:val="000000" w:themeColor="text1"/>
              </w:rPr>
              <w:t>7.</w:t>
            </w:r>
            <w:r w:rsidRPr="00675139">
              <w:rPr>
                <w:rFonts w:eastAsiaTheme="minorEastAsia"/>
                <w:kern w:val="2"/>
                <w:lang w:val="en-US"/>
                <w14:ligatures w14:val="standardContextual"/>
              </w:rPr>
              <w:tab/>
            </w:r>
            <w:r w:rsidRPr="00675139">
              <w:rPr>
                <w:rStyle w:val="Hyperlink"/>
                <w:color w:val="000000" w:themeColor="text1"/>
              </w:rPr>
              <w:t xml:space="preserve">Dėl </w:t>
            </w:r>
            <w:r w:rsidR="003B6BC3" w:rsidRPr="00675139">
              <w:rPr>
                <w:rStyle w:val="Hyperlink"/>
                <w:color w:val="000000" w:themeColor="text1"/>
              </w:rPr>
              <w:t>pagrindo iškelti bankroto bylą</w:t>
            </w:r>
            <w:r w:rsidRPr="00675139">
              <w:rPr>
                <w:webHidden/>
              </w:rPr>
              <w:tab/>
            </w:r>
            <w:r w:rsidR="003B6BC3" w:rsidRPr="00675139">
              <w:rPr>
                <w:webHidden/>
              </w:rPr>
              <w:t>8</w:t>
            </w:r>
          </w:hyperlink>
        </w:p>
        <w:p w14:paraId="2D00EBC6" w14:textId="0B48F844" w:rsidR="003E6555" w:rsidRPr="00675139" w:rsidRDefault="003E6555" w:rsidP="00727CD0">
          <w:pPr>
            <w:pStyle w:val="TOC2"/>
            <w:rPr>
              <w:rFonts w:eastAsiaTheme="minorEastAsia"/>
              <w:kern w:val="2"/>
              <w:lang w:val="en-US"/>
              <w14:ligatures w14:val="standardContextual"/>
            </w:rPr>
          </w:pPr>
          <w:hyperlink w:anchor="_Toc233882989" w:history="1">
            <w:r w:rsidRPr="00675139">
              <w:rPr>
                <w:rStyle w:val="Hyperlink"/>
                <w:color w:val="000000" w:themeColor="text1"/>
              </w:rPr>
              <w:t>8.</w:t>
            </w:r>
            <w:r w:rsidRPr="00675139">
              <w:rPr>
                <w:rFonts w:eastAsiaTheme="minorEastAsia"/>
                <w:kern w:val="2"/>
                <w:lang w:val="en-US"/>
                <w14:ligatures w14:val="standardContextual"/>
              </w:rPr>
              <w:tab/>
            </w:r>
            <w:r w:rsidRPr="00675139">
              <w:rPr>
                <w:rStyle w:val="Hyperlink"/>
                <w:color w:val="000000" w:themeColor="text1"/>
              </w:rPr>
              <w:t xml:space="preserve">Dėl </w:t>
            </w:r>
            <w:r w:rsidR="00675139" w:rsidRPr="00675139">
              <w:rPr>
                <w:rStyle w:val="Hyperlink"/>
                <w:color w:val="000000" w:themeColor="text1"/>
              </w:rPr>
              <w:t>turto realizavimo būdo</w:t>
            </w:r>
            <w:r w:rsidRPr="00675139">
              <w:rPr>
                <w:webHidden/>
              </w:rPr>
              <w:tab/>
            </w:r>
            <w:r w:rsidR="00675139" w:rsidRPr="00675139">
              <w:rPr>
                <w:webHidden/>
              </w:rPr>
              <w:t>8</w:t>
            </w:r>
          </w:hyperlink>
        </w:p>
        <w:p w14:paraId="1761E020" w14:textId="1EBA6AD5" w:rsidR="003E6555" w:rsidRPr="00727CD0" w:rsidRDefault="003E6555" w:rsidP="00727CD0">
          <w:pPr>
            <w:pStyle w:val="TOC2"/>
            <w:rPr>
              <w:rFonts w:eastAsiaTheme="minorEastAsia"/>
              <w:kern w:val="2"/>
              <w:lang w:val="en-US"/>
              <w14:ligatures w14:val="standardContextual"/>
            </w:rPr>
          </w:pPr>
          <w:hyperlink w:anchor="_Toc233882990" w:history="1">
            <w:r w:rsidRPr="00727CD0">
              <w:rPr>
                <w:rStyle w:val="Hyperlink"/>
                <w:color w:val="000000" w:themeColor="text1"/>
              </w:rPr>
              <w:t>9.</w:t>
            </w:r>
            <w:r w:rsidRPr="00727CD0">
              <w:rPr>
                <w:rFonts w:eastAsiaTheme="minorEastAsia"/>
                <w:kern w:val="2"/>
                <w:lang w:val="en-US"/>
                <w14:ligatures w14:val="standardContextual"/>
              </w:rPr>
              <w:tab/>
            </w:r>
            <w:r w:rsidRPr="00727CD0">
              <w:rPr>
                <w:rStyle w:val="Hyperlink"/>
                <w:color w:val="000000" w:themeColor="text1"/>
              </w:rPr>
              <w:t xml:space="preserve">Dėl </w:t>
            </w:r>
            <w:r w:rsidR="00675139" w:rsidRPr="00727CD0">
              <w:rPr>
                <w:rStyle w:val="Hyperlink"/>
                <w:color w:val="000000" w:themeColor="text1"/>
              </w:rPr>
              <w:t>bendrovės nemokumo momento</w:t>
            </w:r>
            <w:r w:rsidRPr="00727CD0">
              <w:rPr>
                <w:webHidden/>
              </w:rPr>
              <w:tab/>
            </w:r>
            <w:r w:rsidR="00727CD0" w:rsidRPr="00727CD0">
              <w:rPr>
                <w:webHidden/>
              </w:rPr>
              <w:t>9</w:t>
            </w:r>
          </w:hyperlink>
        </w:p>
        <w:p w14:paraId="20DFF342" w14:textId="03922840" w:rsidR="003E6555" w:rsidRPr="00727CD0" w:rsidRDefault="003E6555" w:rsidP="00727CD0">
          <w:pPr>
            <w:pStyle w:val="TOC2"/>
            <w:rPr>
              <w:rFonts w:eastAsiaTheme="minorEastAsia"/>
              <w:kern w:val="2"/>
              <w:lang w:val="en-US"/>
              <w14:ligatures w14:val="standardContextual"/>
            </w:rPr>
          </w:pPr>
          <w:hyperlink w:anchor="_Toc233882991" w:history="1">
            <w:r w:rsidRPr="00727CD0">
              <w:rPr>
                <w:rStyle w:val="Hyperlink"/>
                <w:color w:val="000000" w:themeColor="text1"/>
              </w:rPr>
              <w:t>10.</w:t>
            </w:r>
            <w:r w:rsidRPr="00727CD0">
              <w:rPr>
                <w:rFonts w:eastAsiaTheme="minorEastAsia"/>
                <w:kern w:val="2"/>
                <w:lang w:val="en-US"/>
                <w14:ligatures w14:val="standardContextual"/>
              </w:rPr>
              <w:tab/>
            </w:r>
            <w:r w:rsidRPr="00727CD0">
              <w:rPr>
                <w:rStyle w:val="Hyperlink"/>
                <w:color w:val="000000" w:themeColor="text1"/>
              </w:rPr>
              <w:t>Dėl</w:t>
            </w:r>
            <w:r w:rsidR="00727CD0" w:rsidRPr="00727CD0">
              <w:rPr>
                <w:rStyle w:val="Hyperlink"/>
                <w:color w:val="000000" w:themeColor="text1"/>
              </w:rPr>
              <w:t xml:space="preserve"> akcininko atsakomybės pripažinus bankrotą tyčiniu</w:t>
            </w:r>
            <w:r w:rsidRPr="00727CD0">
              <w:rPr>
                <w:webHidden/>
              </w:rPr>
              <w:tab/>
            </w:r>
            <w:r w:rsidR="00727CD0" w:rsidRPr="00727CD0">
              <w:rPr>
                <w:webHidden/>
              </w:rPr>
              <w:t>9</w:t>
            </w:r>
          </w:hyperlink>
        </w:p>
        <w:p w14:paraId="31DD3B74" w14:textId="6E3B088B" w:rsidR="003E6555" w:rsidRPr="001D13F3" w:rsidRDefault="003E6555">
          <w:pPr>
            <w:rPr>
              <w:color w:val="EE0000"/>
            </w:rPr>
          </w:pPr>
          <w:r w:rsidRPr="001D13F3">
            <w:rPr>
              <w:rFonts w:asciiTheme="majorBidi" w:hAnsiTheme="majorBidi" w:cstheme="majorBidi"/>
              <w:b/>
              <w:bCs/>
              <w:noProof/>
              <w:color w:val="EE0000"/>
              <w:sz w:val="24"/>
              <w:szCs w:val="24"/>
            </w:rPr>
            <w:fldChar w:fldCharType="end"/>
          </w:r>
        </w:p>
      </w:sdtContent>
    </w:sdt>
    <w:p w14:paraId="32559957" w14:textId="77777777" w:rsidR="00973DA0" w:rsidRPr="001D13F3" w:rsidRDefault="00973DA0" w:rsidP="00315F03">
      <w:pPr>
        <w:rPr>
          <w:rFonts w:asciiTheme="majorBidi" w:hAnsiTheme="majorBidi" w:cstheme="majorBidi"/>
          <w:b/>
          <w:bCs/>
          <w:color w:val="EE0000"/>
          <w:sz w:val="20"/>
          <w:szCs w:val="20"/>
        </w:rPr>
      </w:pPr>
    </w:p>
    <w:p w14:paraId="260BC57F" w14:textId="77777777" w:rsidR="00973DA0" w:rsidRPr="001D13F3" w:rsidRDefault="00973DA0" w:rsidP="00315F03">
      <w:pPr>
        <w:rPr>
          <w:rFonts w:asciiTheme="majorBidi" w:hAnsiTheme="majorBidi" w:cstheme="majorBidi"/>
          <w:b/>
          <w:bCs/>
          <w:color w:val="EE0000"/>
          <w:sz w:val="20"/>
          <w:szCs w:val="20"/>
        </w:rPr>
      </w:pPr>
    </w:p>
    <w:p w14:paraId="3B3D999B" w14:textId="77777777" w:rsidR="00973DA0" w:rsidRPr="001D13F3" w:rsidRDefault="00973DA0" w:rsidP="00315F03">
      <w:pPr>
        <w:rPr>
          <w:rFonts w:asciiTheme="majorBidi" w:hAnsiTheme="majorBidi" w:cstheme="majorBidi"/>
          <w:b/>
          <w:bCs/>
          <w:color w:val="EE0000"/>
          <w:sz w:val="20"/>
          <w:szCs w:val="20"/>
        </w:rPr>
      </w:pPr>
    </w:p>
    <w:p w14:paraId="0A1D145C" w14:textId="77777777" w:rsidR="00973DA0" w:rsidRPr="001D13F3" w:rsidRDefault="00973DA0" w:rsidP="00315F03">
      <w:pPr>
        <w:rPr>
          <w:rFonts w:asciiTheme="majorBidi" w:hAnsiTheme="majorBidi" w:cstheme="majorBidi"/>
          <w:b/>
          <w:bCs/>
          <w:color w:val="EE0000"/>
          <w:sz w:val="20"/>
          <w:szCs w:val="20"/>
        </w:rPr>
      </w:pPr>
    </w:p>
    <w:p w14:paraId="3883F592" w14:textId="38209A5B" w:rsidR="0023121B" w:rsidRPr="001D13F3" w:rsidRDefault="0023121B">
      <w:pPr>
        <w:rPr>
          <w:rFonts w:asciiTheme="majorBidi" w:hAnsiTheme="majorBidi" w:cstheme="majorBidi"/>
          <w:b/>
          <w:bCs/>
          <w:color w:val="EE0000"/>
          <w:sz w:val="20"/>
          <w:szCs w:val="20"/>
        </w:rPr>
      </w:pPr>
      <w:r w:rsidRPr="001D13F3">
        <w:rPr>
          <w:rFonts w:asciiTheme="majorBidi" w:hAnsiTheme="majorBidi" w:cstheme="majorBidi"/>
          <w:b/>
          <w:bCs/>
          <w:color w:val="EE0000"/>
          <w:sz w:val="20"/>
          <w:szCs w:val="20"/>
        </w:rPr>
        <w:br w:type="page"/>
      </w:r>
    </w:p>
    <w:p w14:paraId="55CE7890" w14:textId="77777777" w:rsidR="00973DA0" w:rsidRPr="001D13F3" w:rsidRDefault="00973DA0" w:rsidP="00315F03">
      <w:pPr>
        <w:rPr>
          <w:rFonts w:asciiTheme="majorBidi" w:hAnsiTheme="majorBidi" w:cstheme="majorBidi"/>
          <w:b/>
          <w:bCs/>
          <w:color w:val="EE0000"/>
          <w:sz w:val="20"/>
          <w:szCs w:val="20"/>
        </w:rPr>
      </w:pPr>
    </w:p>
    <w:p w14:paraId="05F68F52" w14:textId="4986AC83" w:rsidR="003255EF" w:rsidRPr="00262F06" w:rsidRDefault="00BE7B5C" w:rsidP="00BE2756">
      <w:pPr>
        <w:pStyle w:val="Heading1"/>
        <w:numPr>
          <w:ilvl w:val="0"/>
          <w:numId w:val="4"/>
        </w:numPr>
        <w:jc w:val="both"/>
      </w:pPr>
      <w:bookmarkStart w:id="0" w:name="_Toc233882976"/>
      <w:r w:rsidRPr="00262F06">
        <w:t>LAT n</w:t>
      </w:r>
      <w:r w:rsidR="003255EF" w:rsidRPr="00262F06">
        <w:t>utarčių juridinių asmenų bankroto klausimais apžvalga</w:t>
      </w:r>
      <w:bookmarkEnd w:id="0"/>
    </w:p>
    <w:p w14:paraId="24FC5C79" w14:textId="77777777" w:rsidR="00851959" w:rsidRPr="00940179" w:rsidRDefault="00851959" w:rsidP="00851959">
      <w:pPr>
        <w:rPr>
          <w:color w:val="5B9BD5" w:themeColor="accent1"/>
        </w:rPr>
      </w:pPr>
    </w:p>
    <w:p w14:paraId="2E53940F" w14:textId="7F0F729D" w:rsidR="00851959" w:rsidRPr="00262F06" w:rsidRDefault="00851959" w:rsidP="002F01DF">
      <w:pPr>
        <w:pStyle w:val="ListParagraph"/>
        <w:numPr>
          <w:ilvl w:val="0"/>
          <w:numId w:val="26"/>
        </w:numPr>
        <w:ind w:firstLine="131"/>
        <w:jc w:val="both"/>
        <w:rPr>
          <w:rFonts w:asciiTheme="majorBidi" w:hAnsiTheme="majorBidi" w:cstheme="majorBidi"/>
          <w:color w:val="2E74B5" w:themeColor="accent1" w:themeShade="BF"/>
          <w:sz w:val="24"/>
          <w:szCs w:val="24"/>
        </w:rPr>
      </w:pPr>
      <w:r w:rsidRPr="00262F06">
        <w:rPr>
          <w:rFonts w:asciiTheme="majorBidi" w:hAnsiTheme="majorBidi" w:cstheme="majorBidi"/>
          <w:color w:val="2E74B5" w:themeColor="accent1" w:themeShade="BF"/>
          <w:sz w:val="24"/>
          <w:szCs w:val="24"/>
        </w:rPr>
        <w:t>Dėl maksimaliąją hipoteką viršijančios prievolių dalies išieškojimo</w:t>
      </w:r>
    </w:p>
    <w:p w14:paraId="56226DA9" w14:textId="20021139" w:rsidR="002A307F" w:rsidRDefault="00925C73" w:rsidP="00046884">
      <w:pPr>
        <w:tabs>
          <w:tab w:val="left" w:pos="851"/>
          <w:tab w:val="left" w:pos="993"/>
        </w:tabs>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9A1EC2" w:rsidRPr="00940179">
        <w:rPr>
          <w:rFonts w:asciiTheme="majorBidi" w:hAnsiTheme="majorBidi" w:cstheme="majorBidi"/>
          <w:sz w:val="24"/>
          <w:szCs w:val="24"/>
        </w:rPr>
        <w:t>Pareiškėjai prašė panaikinti antstolio patvarkymą dėl prašymo perskaičiuoti skolos sumą ir įpareigoti antstolį perskaičiuoti iš pareiškėjų išieškomas sumas vykdomojoje byloje, atsižvelgiant į maksimaliosios hipotekos sumą. Pareiškėjai nurodė, kad su kreditoriumi sudarytoje sutartyje dėl hipotekos aiškiai įtvirtino, jog maksimaliosios hipotekos dydis yra 200</w:t>
      </w:r>
      <w:r w:rsidR="003A16D8">
        <w:rPr>
          <w:rFonts w:asciiTheme="majorBidi" w:hAnsiTheme="majorBidi" w:cstheme="majorBidi"/>
          <w:sz w:val="24"/>
          <w:szCs w:val="24"/>
        </w:rPr>
        <w:t> </w:t>
      </w:r>
      <w:r w:rsidR="009A1EC2" w:rsidRPr="00940179">
        <w:rPr>
          <w:rFonts w:asciiTheme="majorBidi" w:hAnsiTheme="majorBidi" w:cstheme="majorBidi"/>
          <w:sz w:val="24"/>
          <w:szCs w:val="24"/>
        </w:rPr>
        <w:t xml:space="preserve">000 Eur, ir notarė nurodė, kad vykdomasis įrašas yra atliktas pagal maksimaliosios hipotekos sandorį, todėl antstolis, vykdydamas išieškojimo procedūrą, turėjo apskaičiuoti išieškomas sumas pagal notarės išduotą vykdomąjį įrašą, atsižvelgdamas į maksimaliosios hipotekos sumą. Antstolis patvarkymu netenkino pareiškėjų skundo ir jį persiuntė nagrinėti teismui. Suinteresuotas asmuo atsiliepimu prašė pareiškėjų skundą atmesti. Tvirtino, kad pareiškėjai praleido notarės išduoto vykdomojo dokumento apskundimo terminą. Pabrėžė, kad notarės vykdomasis įrašas tik apibrėžia antstolio veiklos ribas, į kurias jis privalo atsižvelgti vykdymo procese atlikdamas CPK nustatytus veiksmus. Notarės išduotas vykdomojo įrašo papildymas yra skirtas antstoliui informuoti, kokią sumą jis turi išieškoti tik iš hipoteka įkeisto turto, likusi skola turi būti išieškota bendra tvarka iš kito pareiškėjų turto. </w:t>
      </w:r>
    </w:p>
    <w:p w14:paraId="2E859180" w14:textId="77777777" w:rsidR="00E52E85" w:rsidRDefault="002A307F" w:rsidP="00E15B0C">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9A1EC2" w:rsidRPr="00940179">
        <w:rPr>
          <w:rFonts w:asciiTheme="majorBidi" w:hAnsiTheme="majorBidi" w:cstheme="majorBidi"/>
          <w:sz w:val="24"/>
          <w:szCs w:val="24"/>
        </w:rPr>
        <w:t xml:space="preserve">Pirmosios instancijos teismas nutartimi pareiškėjų skundą atmetė. Apeliacinės instancijos teismas nutartimi pirmosios instancijos teismo sprendimą paliko nepakeistą. </w:t>
      </w:r>
      <w:r w:rsidR="00E52E85">
        <w:rPr>
          <w:rFonts w:asciiTheme="majorBidi" w:hAnsiTheme="majorBidi" w:cstheme="majorBidi"/>
          <w:sz w:val="24"/>
          <w:szCs w:val="24"/>
        </w:rPr>
        <w:t xml:space="preserve">                   </w:t>
      </w:r>
    </w:p>
    <w:p w14:paraId="317EEFB9" w14:textId="77777777" w:rsidR="0068624E" w:rsidRDefault="00E52E85" w:rsidP="00E15B0C">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9A1EC2" w:rsidRPr="00940179">
        <w:rPr>
          <w:rFonts w:asciiTheme="majorBidi" w:hAnsiTheme="majorBidi" w:cstheme="majorBidi"/>
          <w:sz w:val="24"/>
          <w:szCs w:val="24"/>
        </w:rPr>
        <w:t xml:space="preserve">Kasacinis teismas nurodė, kad maksimalioji hipoteka išsiskiria iš kitų hipotekos sandorių rūšių tuo, kad ja gali būti užtikrinamas ne konkretus, žinomas ir nurodomas įkeitimo metu skolinis įsipareigojimas, o maksimali įkeičiamu daiktu užtikrintų įsipareigojimų apsaugojimo suma (CK 4.182 straipsnio 1 dalis). Kadangi sudarant maksimaliosios hipotekos sandorį nenurodomas konkretus turtinės prievolės dydis, turtinei prievolei viršijus maksimalią hipotekos sumą viršyta suma lieka neužtikrinta ir išieškoma bendrąja ginčo teisena, tai reiškia, kad atitinkama prievolė turi būti konstatuota teismo sprendimu, o iki tol jos priverstinis išieškojimas negalimas. CK 4.193 straipsnio 1 dalies nuostatos, esant maksimaliajai hipotekai, reiškia, kad jeigu įkeisto ir realizuoto turto vertės neužtenka patenkinti maksimaliosios hipotekos dydžio skolininko įsipareigojimų sumai, kreditorius turi teisę reikalauti, kad antstolis tęstų likusios sumos, neviršijančios maksimaliosios hipotekos dydžio, išieškojimą bendrąja įstatymų nustatyta tvarka toje pačioje vykdomojoje byloje. Jeigu kreditoriaus pagrindinio reikalavimo – pagrindinės prievolės – dydis viršija maksimaliosios hipotekos sumą, priverstinis likusios sumos išieškojimas toje pačioje vykdomojoje byloje negalimas, kadangi 16 2026 m. liepa–rugpjūtis. Lietuvos Aukščiausiojo Teismo praktikos apžvalga tam nėra teisinio pagrindo. Kompensuojamosios palūkanos ir netesybos, kaip papildomos prievolės, nuo maksimaliąja hipoteka užtikrintos pagrindinio reikalavimo sumos gali būti išieškomos – iki maksimaliosios hipotekos sumos – pagal hipotekos taisykles, virš šios sumos – bendrąja įstatymų nustatyta tvarka. </w:t>
      </w:r>
    </w:p>
    <w:p w14:paraId="1B920F7A" w14:textId="44B44B16" w:rsidR="00C96DF3" w:rsidRDefault="0068624E" w:rsidP="00046884">
      <w:pPr>
        <w:tabs>
          <w:tab w:val="left" w:pos="851"/>
        </w:tabs>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B2457F">
        <w:rPr>
          <w:rFonts w:asciiTheme="majorBidi" w:hAnsiTheme="majorBidi" w:cstheme="majorBidi"/>
          <w:sz w:val="24"/>
          <w:szCs w:val="24"/>
        </w:rPr>
        <w:t xml:space="preserve">   </w:t>
      </w:r>
      <w:r w:rsidR="009A1EC2" w:rsidRPr="00940179">
        <w:rPr>
          <w:rFonts w:asciiTheme="majorBidi" w:hAnsiTheme="majorBidi" w:cstheme="majorBidi"/>
          <w:sz w:val="24"/>
          <w:szCs w:val="24"/>
        </w:rPr>
        <w:t xml:space="preserve">Nagrinėjamoje byloje nustatyta, kad antstolis vykdė notaro vykdomąjį dokumentą dėl skolos, palūkanų, delspinigių už kiekvieną uždelstą dieną iki prievolės visiško įvykdymo, kompensuojamųjų palūkanų ir kreditoriaus išlaidų atlyginimo išieškojimo. Hipoteka įkeistas </w:t>
      </w:r>
      <w:r w:rsidR="009A1EC2" w:rsidRPr="00940179">
        <w:rPr>
          <w:rFonts w:asciiTheme="majorBidi" w:hAnsiTheme="majorBidi" w:cstheme="majorBidi"/>
          <w:sz w:val="24"/>
          <w:szCs w:val="24"/>
        </w:rPr>
        <w:lastRenderedPageBreak/>
        <w:t xml:space="preserve">turtas parduotas iš pirmųjų varžytynių už mažesnę sumą, nei yra įregistruota maksimalioji hipoteka (200 000 Eur), hipotekos kreditoriaus reikalavimas nėra patenkintas. Pagrindinės prievolės, skolos ir mokėjimo palūkanų, suma – 140 000 Eur – nesiekia maksimaliąja hipoteka užtikrintos sumos. Dėl to buvo konstatuota, kad kompensuojamųjų palūkanų ir delspinigių, kaip papildomų prievolių, išieškojimas, nepakakus įkeisto turto vertės, antstolio teisėtai tęsiamas pagal bendrąsias priverstinio vykdymo taisykles. </w:t>
      </w:r>
    </w:p>
    <w:p w14:paraId="3A75D80D" w14:textId="6E041381" w:rsidR="00E15B0C" w:rsidRDefault="00C96DF3" w:rsidP="00EA4251">
      <w:pPr>
        <w:tabs>
          <w:tab w:val="left" w:pos="993"/>
        </w:tabs>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046884">
        <w:rPr>
          <w:rFonts w:asciiTheme="majorBidi" w:hAnsiTheme="majorBidi" w:cstheme="majorBidi"/>
          <w:sz w:val="24"/>
          <w:szCs w:val="24"/>
        </w:rPr>
        <w:t xml:space="preserve"> </w:t>
      </w:r>
      <w:r w:rsidR="00EA4251">
        <w:rPr>
          <w:rFonts w:asciiTheme="majorBidi" w:hAnsiTheme="majorBidi" w:cstheme="majorBidi"/>
          <w:sz w:val="24"/>
          <w:szCs w:val="24"/>
        </w:rPr>
        <w:t xml:space="preserve"> </w:t>
      </w:r>
      <w:r w:rsidR="00046884">
        <w:rPr>
          <w:rFonts w:asciiTheme="majorBidi" w:hAnsiTheme="majorBidi" w:cstheme="majorBidi"/>
          <w:sz w:val="24"/>
          <w:szCs w:val="24"/>
        </w:rPr>
        <w:t xml:space="preserve"> </w:t>
      </w:r>
      <w:r w:rsidR="009A1EC2" w:rsidRPr="00940179">
        <w:rPr>
          <w:rFonts w:asciiTheme="majorBidi" w:hAnsiTheme="majorBidi" w:cstheme="majorBidi"/>
          <w:sz w:val="24"/>
          <w:szCs w:val="24"/>
        </w:rPr>
        <w:t xml:space="preserve">Remdamasis nurodytais argumentais, kasacinis teismas apeliacinės instancijos teismo nutartį paliko nepakeistą. </w:t>
      </w:r>
    </w:p>
    <w:p w14:paraId="4FDF1875" w14:textId="77777777" w:rsidR="00E15B0C" w:rsidRDefault="00E15B0C" w:rsidP="00E15B0C">
      <w:pPr>
        <w:spacing w:after="0" w:line="240" w:lineRule="auto"/>
        <w:jc w:val="both"/>
        <w:rPr>
          <w:rFonts w:asciiTheme="majorBidi" w:hAnsiTheme="majorBidi" w:cstheme="majorBidi"/>
          <w:sz w:val="24"/>
          <w:szCs w:val="24"/>
        </w:rPr>
      </w:pPr>
    </w:p>
    <w:p w14:paraId="017A74A3" w14:textId="1DF77CA7" w:rsidR="00681A48" w:rsidRPr="00E15B0C" w:rsidRDefault="009A1EC2" w:rsidP="00E15B0C">
      <w:pPr>
        <w:spacing w:after="0" w:line="240" w:lineRule="auto"/>
        <w:jc w:val="both"/>
        <w:rPr>
          <w:rFonts w:asciiTheme="majorBidi" w:hAnsiTheme="majorBidi" w:cstheme="majorBidi"/>
          <w:i/>
          <w:iCs/>
          <w:color w:val="EE0000"/>
          <w:sz w:val="24"/>
          <w:szCs w:val="24"/>
        </w:rPr>
      </w:pPr>
      <w:r w:rsidRPr="00E15B0C">
        <w:rPr>
          <w:rFonts w:asciiTheme="majorBidi" w:hAnsiTheme="majorBidi" w:cstheme="majorBidi"/>
          <w:i/>
          <w:iCs/>
          <w:sz w:val="24"/>
          <w:szCs w:val="24"/>
        </w:rPr>
        <w:t>Lietuvos Aukščiausiojo Teismo 2026 m. rugpjūčio 27 d. nutartis civilinėje byloje Nr. 3K-3-116-469/2026</w:t>
      </w:r>
    </w:p>
    <w:p w14:paraId="0285D330" w14:textId="66D631D3" w:rsidR="006E5C92" w:rsidRPr="001D13F3" w:rsidRDefault="006E5C92" w:rsidP="00E15B0C">
      <w:pPr>
        <w:pBdr>
          <w:bottom w:val="dotted" w:sz="24" w:space="1" w:color="auto"/>
        </w:pBdr>
        <w:spacing w:after="0" w:line="240" w:lineRule="auto"/>
        <w:jc w:val="both"/>
        <w:rPr>
          <w:rFonts w:asciiTheme="majorBidi" w:hAnsiTheme="majorBidi" w:cstheme="majorBidi"/>
          <w:i/>
          <w:iCs/>
          <w:color w:val="EE0000"/>
          <w:sz w:val="24"/>
          <w:szCs w:val="24"/>
        </w:rPr>
      </w:pPr>
    </w:p>
    <w:p w14:paraId="49FC6E15" w14:textId="77777777" w:rsidR="00401D5B" w:rsidRPr="001D13F3" w:rsidRDefault="00401D5B" w:rsidP="007F3637">
      <w:pPr>
        <w:rPr>
          <w:color w:val="EE0000"/>
        </w:rPr>
      </w:pPr>
    </w:p>
    <w:p w14:paraId="53C028C0" w14:textId="3EF44693" w:rsidR="00BE7B5C" w:rsidRPr="00262F06" w:rsidRDefault="00BE7B5C" w:rsidP="00D07187">
      <w:pPr>
        <w:pStyle w:val="Heading1"/>
        <w:numPr>
          <w:ilvl w:val="0"/>
          <w:numId w:val="4"/>
        </w:numPr>
        <w:jc w:val="both"/>
      </w:pPr>
      <w:bookmarkStart w:id="1" w:name="_Toc233882981"/>
      <w:r w:rsidRPr="00262F06">
        <w:t>LAp</w:t>
      </w:r>
      <w:r w:rsidR="005E15C8" w:rsidRPr="00262F06">
        <w:t>T</w:t>
      </w:r>
      <w:r w:rsidRPr="00262F06">
        <w:t xml:space="preserve"> nutarčių juridinių asmenų bankroto klausimais apžvalga</w:t>
      </w:r>
      <w:bookmarkEnd w:id="1"/>
    </w:p>
    <w:p w14:paraId="7FAB8A51" w14:textId="77777777" w:rsidR="00252AC9" w:rsidRPr="00252AC9" w:rsidRDefault="00252AC9" w:rsidP="00252AC9"/>
    <w:p w14:paraId="03F0B107" w14:textId="48A2FCE1" w:rsidR="00CC7FF2" w:rsidRPr="00262F06" w:rsidRDefault="00CC7FF2" w:rsidP="00D97D7B">
      <w:pPr>
        <w:pStyle w:val="ListParagraph"/>
        <w:numPr>
          <w:ilvl w:val="0"/>
          <w:numId w:val="27"/>
        </w:numPr>
        <w:spacing w:after="0" w:line="240" w:lineRule="auto"/>
        <w:ind w:left="1134" w:hanging="141"/>
        <w:jc w:val="both"/>
        <w:rPr>
          <w:rFonts w:asciiTheme="majorBidi" w:hAnsiTheme="majorBidi" w:cstheme="majorBidi"/>
          <w:color w:val="2E74B5" w:themeColor="accent1" w:themeShade="BF"/>
          <w:sz w:val="24"/>
          <w:szCs w:val="24"/>
          <w:shd w:val="clear" w:color="auto" w:fill="FFFFFF"/>
        </w:rPr>
      </w:pPr>
      <w:r w:rsidRPr="00262F06">
        <w:rPr>
          <w:rFonts w:asciiTheme="majorBidi" w:hAnsiTheme="majorBidi" w:cstheme="majorBidi"/>
          <w:color w:val="2E74B5" w:themeColor="accent1" w:themeShade="BF"/>
          <w:sz w:val="24"/>
          <w:szCs w:val="24"/>
          <w:shd w:val="clear" w:color="auto" w:fill="FFFFFF"/>
        </w:rPr>
        <w:t>Dėl turto pardavimo tvarkos nustatymo</w:t>
      </w:r>
    </w:p>
    <w:p w14:paraId="43C41D34"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p>
    <w:p w14:paraId="55A12E8E" w14:textId="14A783D0" w:rsidR="00CC7FF2" w:rsidRPr="00252AC9" w:rsidRDefault="00CC7FF2" w:rsidP="00D97D7B">
      <w:pPr>
        <w:pStyle w:val="ListParagraph"/>
        <w:tabs>
          <w:tab w:val="left" w:pos="993"/>
        </w:tabs>
        <w:spacing w:after="0" w:line="240" w:lineRule="auto"/>
        <w:ind w:left="0"/>
        <w:jc w:val="both"/>
        <w:rPr>
          <w:rFonts w:asciiTheme="majorBidi" w:hAnsiTheme="majorBidi" w:cstheme="majorBidi"/>
          <w:color w:val="000000"/>
          <w:sz w:val="24"/>
          <w:szCs w:val="24"/>
          <w:shd w:val="clear" w:color="auto" w:fill="FFFFFF"/>
        </w:rPr>
      </w:pPr>
      <w:r w:rsidRPr="00252AC9">
        <w:rPr>
          <w:rFonts w:asciiTheme="majorBidi" w:hAnsiTheme="majorBidi" w:cstheme="majorBidi"/>
          <w:color w:val="000000"/>
          <w:sz w:val="24"/>
          <w:szCs w:val="24"/>
          <w:shd w:val="clear" w:color="auto" w:fill="FFFFFF"/>
        </w:rPr>
        <w:t xml:space="preserve">       </w:t>
      </w:r>
      <w:r w:rsidR="00D97D7B">
        <w:rPr>
          <w:rFonts w:asciiTheme="majorBidi" w:hAnsiTheme="majorBidi" w:cstheme="majorBidi"/>
          <w:color w:val="000000"/>
          <w:sz w:val="24"/>
          <w:szCs w:val="24"/>
          <w:shd w:val="clear" w:color="auto" w:fill="FFFFFF"/>
        </w:rPr>
        <w:t xml:space="preserve">    </w:t>
      </w:r>
      <w:r w:rsidRPr="00252AC9">
        <w:rPr>
          <w:rFonts w:asciiTheme="majorBidi" w:hAnsiTheme="majorBidi" w:cstheme="majorBidi"/>
          <w:color w:val="000000"/>
          <w:sz w:val="24"/>
          <w:szCs w:val="24"/>
          <w:shd w:val="clear" w:color="auto" w:fill="FFFFFF"/>
        </w:rPr>
        <w:t>Aplinkybė, kad kreditorių susirinkimą inicijavo ir sušaukė patys kreditoriai, o ne nemokumo administratorė, neatleidžia susirinkimą inicijuojančių asmenų nuo pareigos pateikti siūlomos turto kainos pagrindimą (</w:t>
      </w:r>
      <w:bookmarkStart w:id="2" w:name="nf38317e6-31a0-4aef-9d8e-5c2e9ed828ec"/>
      <w:r w:rsidRPr="00252AC9">
        <w:rPr>
          <w:rFonts w:asciiTheme="majorBidi" w:hAnsiTheme="majorBidi" w:cstheme="majorBidi"/>
          <w:sz w:val="24"/>
          <w:szCs w:val="24"/>
        </w:rPr>
        <w:fldChar w:fldCharType="begin"/>
      </w:r>
      <w:r w:rsidRPr="00252AC9">
        <w:rPr>
          <w:rFonts w:asciiTheme="majorBidi" w:hAnsiTheme="majorBidi" w:cstheme="majorBidi"/>
          <w:sz w:val="24"/>
          <w:szCs w:val="24"/>
        </w:rPr>
        <w:instrText>HYPERLINK "https://www.infolex.lt/ta/541479" \o "Lietuvos Respublikos juridinių asmenų nemokumo įstatymas" \t "_blank"</w:instrText>
      </w:r>
      <w:r w:rsidRPr="00252AC9">
        <w:rPr>
          <w:rFonts w:asciiTheme="majorBidi" w:hAnsiTheme="majorBidi" w:cstheme="majorBidi"/>
          <w:sz w:val="24"/>
          <w:szCs w:val="24"/>
        </w:rPr>
      </w:r>
      <w:r w:rsidRPr="00252AC9">
        <w:rPr>
          <w:rFonts w:asciiTheme="majorBidi" w:hAnsiTheme="majorBidi" w:cstheme="majorBidi"/>
          <w:sz w:val="24"/>
          <w:szCs w:val="24"/>
        </w:rPr>
        <w:fldChar w:fldCharType="separate"/>
      </w:r>
      <w:r w:rsidRPr="00252AC9">
        <w:rPr>
          <w:rFonts w:asciiTheme="majorBidi" w:hAnsiTheme="majorBidi" w:cstheme="majorBidi"/>
          <w:color w:val="000000"/>
          <w:sz w:val="24"/>
          <w:szCs w:val="24"/>
          <w:shd w:val="clear" w:color="auto" w:fill="FFFFFF"/>
        </w:rPr>
        <w:t>JANĮ</w:t>
      </w:r>
      <w:r w:rsidRPr="00252AC9">
        <w:rPr>
          <w:rFonts w:asciiTheme="majorBidi" w:hAnsiTheme="majorBidi" w:cstheme="majorBidi"/>
          <w:sz w:val="24"/>
          <w:szCs w:val="24"/>
        </w:rPr>
        <w:fldChar w:fldCharType="end"/>
      </w:r>
      <w:bookmarkStart w:id="3" w:name="pnf38317e6-31a0-4aef-9d8e-5c2e9ed828ec"/>
      <w:bookmarkEnd w:id="2"/>
      <w:bookmarkEnd w:id="3"/>
      <w:r w:rsidRPr="00252AC9">
        <w:rPr>
          <w:rFonts w:asciiTheme="majorBidi" w:hAnsiTheme="majorBidi" w:cstheme="majorBidi"/>
          <w:color w:val="000000"/>
          <w:sz w:val="24"/>
          <w:szCs w:val="24"/>
          <w:shd w:val="clear" w:color="auto" w:fill="FFFFFF"/>
        </w:rPr>
        <w:t xml:space="preserve"> </w:t>
      </w:r>
      <w:bookmarkStart w:id="4" w:name="n17a8caf0-9efd-484b-b358-be8f09889526"/>
      <w:r w:rsidRPr="00252AC9">
        <w:rPr>
          <w:rFonts w:asciiTheme="majorBidi" w:hAnsiTheme="majorBidi" w:cstheme="majorBidi"/>
          <w:sz w:val="24"/>
          <w:szCs w:val="24"/>
        </w:rPr>
        <w:fldChar w:fldCharType="begin"/>
      </w:r>
      <w:r w:rsidRPr="00252AC9">
        <w:rPr>
          <w:rFonts w:asciiTheme="majorBidi" w:hAnsiTheme="majorBidi" w:cstheme="majorBidi"/>
          <w:sz w:val="24"/>
          <w:szCs w:val="24"/>
        </w:rPr>
        <w:instrText>HYPERLINK "https://www.infolex.lt/tp/2425932" \o "Juridinio asmens turto pardavimas" \t "_blank"</w:instrText>
      </w:r>
      <w:r w:rsidRPr="00252AC9">
        <w:rPr>
          <w:rFonts w:asciiTheme="majorBidi" w:hAnsiTheme="majorBidi" w:cstheme="majorBidi"/>
          <w:sz w:val="24"/>
          <w:szCs w:val="24"/>
        </w:rPr>
      </w:r>
      <w:r w:rsidRPr="00252AC9">
        <w:rPr>
          <w:rFonts w:asciiTheme="majorBidi" w:hAnsiTheme="majorBidi" w:cstheme="majorBidi"/>
          <w:sz w:val="24"/>
          <w:szCs w:val="24"/>
        </w:rPr>
        <w:fldChar w:fldCharType="separate"/>
      </w:r>
      <w:r w:rsidRPr="00252AC9">
        <w:rPr>
          <w:rFonts w:asciiTheme="majorBidi" w:hAnsiTheme="majorBidi" w:cstheme="majorBidi"/>
          <w:color w:val="000000"/>
          <w:sz w:val="24"/>
          <w:szCs w:val="24"/>
          <w:shd w:val="clear" w:color="auto" w:fill="FFFFFF"/>
        </w:rPr>
        <w:t>86</w:t>
      </w:r>
      <w:r w:rsidRPr="00252AC9">
        <w:rPr>
          <w:rFonts w:asciiTheme="majorBidi" w:hAnsiTheme="majorBidi" w:cstheme="majorBidi"/>
          <w:sz w:val="24"/>
          <w:szCs w:val="24"/>
        </w:rPr>
        <w:fldChar w:fldCharType="end"/>
      </w:r>
      <w:bookmarkStart w:id="5" w:name="pn17a8caf0-9efd-484b-b358-be8f09889526"/>
      <w:bookmarkEnd w:id="4"/>
      <w:bookmarkEnd w:id="5"/>
      <w:r w:rsidRPr="00252AC9">
        <w:rPr>
          <w:rFonts w:asciiTheme="majorBidi" w:hAnsiTheme="majorBidi" w:cstheme="majorBidi"/>
          <w:color w:val="000000"/>
          <w:sz w:val="24"/>
          <w:szCs w:val="24"/>
          <w:shd w:val="clear" w:color="auto" w:fill="FFFFFF"/>
        </w:rPr>
        <w:t xml:space="preserve"> straipsnio 3 dalis). Priešingai – tokia inicijavimo teisė sukuria pareigą veikti atsakingai, užtikrinant, kad priimami sprendimai nepažeistų kitų kreditorių bei pačios bendrovės interesų. Nustatydami nepagrįstai mažas pradines kainas,  kreditoriai sukelia realią grėsmę bendrovės turtui būti perleistam už neadekvačiai mažą kainą, taip dirbtinai sumažindami galimybes tenkinti visų kreditorių reikalavimus didžiausia apimtimi. Toks vienašališkas ir ekonomiškai nepagrįstas elgesys, veikiant akivaizdaus interesų konflikto sąlygomis, patvirtina, kad skundžiami sprendimai priimti siekiant ne bendro bankroto proceso tikslo, o priešingų teisei asmeninių interesų tenkinimo kitų kreditorių interesų sąskaita.</w:t>
      </w:r>
    </w:p>
    <w:p w14:paraId="2383CF2F"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p>
    <w:p w14:paraId="12B01080"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Lietuvos apeliacinio teismo 2026 m. liepos 30 d. nutartis, priimta civilinėje byloje Nr.</w:t>
      </w:r>
      <w:r w:rsidRPr="00252AC9">
        <w:rPr>
          <w:rFonts w:asciiTheme="majorBidi" w:hAnsiTheme="majorBidi" w:cstheme="majorBidi"/>
          <w:color w:val="000000"/>
          <w:sz w:val="24"/>
          <w:szCs w:val="24"/>
          <w:shd w:val="clear" w:color="auto" w:fill="FFFFFF"/>
        </w:rPr>
        <w:t xml:space="preserve"> </w:t>
      </w:r>
      <w:r w:rsidRPr="00252AC9">
        <w:rPr>
          <w:rFonts w:asciiTheme="majorBidi" w:hAnsiTheme="majorBidi" w:cstheme="majorBidi"/>
          <w:i/>
          <w:iCs/>
          <w:color w:val="000000"/>
          <w:sz w:val="24"/>
          <w:szCs w:val="24"/>
          <w:shd w:val="clear" w:color="auto" w:fill="FFFFFF"/>
        </w:rPr>
        <w:t>e2-642-567/2026</w:t>
      </w:r>
    </w:p>
    <w:p w14:paraId="0775AA7D"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rPr>
      </w:pPr>
    </w:p>
    <w:p w14:paraId="481A226D" w14:textId="26951421" w:rsidR="00CC7FF2" w:rsidRPr="00262F06" w:rsidRDefault="00CC7FF2" w:rsidP="00FC192C">
      <w:pPr>
        <w:pStyle w:val="ListParagraph"/>
        <w:numPr>
          <w:ilvl w:val="0"/>
          <w:numId w:val="27"/>
        </w:numPr>
        <w:spacing w:after="0" w:line="240" w:lineRule="auto"/>
        <w:ind w:left="993" w:firstLine="0"/>
        <w:jc w:val="both"/>
        <w:rPr>
          <w:rFonts w:asciiTheme="majorBidi" w:hAnsiTheme="majorBidi" w:cstheme="majorBidi"/>
          <w:color w:val="2E74B5" w:themeColor="accent1" w:themeShade="BF"/>
          <w:sz w:val="24"/>
          <w:szCs w:val="24"/>
        </w:rPr>
      </w:pPr>
      <w:r w:rsidRPr="00262F06">
        <w:rPr>
          <w:rFonts w:asciiTheme="majorBidi" w:hAnsiTheme="majorBidi" w:cstheme="majorBidi"/>
          <w:color w:val="2E74B5" w:themeColor="accent1" w:themeShade="BF"/>
          <w:sz w:val="24"/>
          <w:szCs w:val="24"/>
          <w:shd w:val="clear" w:color="auto" w:fill="FFFFFF"/>
        </w:rPr>
        <w:t xml:space="preserve">Dėl juridinio asmens veiklos tyrimo instituto taikymo pagrindo </w:t>
      </w:r>
    </w:p>
    <w:p w14:paraId="2DA77F19" w14:textId="77777777" w:rsidR="00CC7FF2" w:rsidRPr="00252AC9" w:rsidRDefault="00CC7FF2" w:rsidP="00252AC9">
      <w:pPr>
        <w:pStyle w:val="ListParagraph"/>
        <w:spacing w:after="0" w:line="240" w:lineRule="auto"/>
        <w:ind w:left="0"/>
        <w:jc w:val="both"/>
        <w:rPr>
          <w:rFonts w:asciiTheme="majorBidi" w:hAnsiTheme="majorBidi" w:cstheme="majorBidi"/>
          <w:color w:val="98A7BD" w:themeColor="text2" w:themeTint="80"/>
          <w:sz w:val="24"/>
          <w:szCs w:val="24"/>
        </w:rPr>
      </w:pPr>
    </w:p>
    <w:p w14:paraId="0DC3B136" w14:textId="296D263A" w:rsidR="00CC7FF2" w:rsidRPr="00252AC9" w:rsidRDefault="00CC7FF2" w:rsidP="00FC192C">
      <w:pPr>
        <w:pStyle w:val="ListParagraph"/>
        <w:shd w:val="clear" w:color="auto" w:fill="FFFFFF"/>
        <w:tabs>
          <w:tab w:val="left" w:pos="993"/>
        </w:tabs>
        <w:spacing w:after="0" w:line="240" w:lineRule="auto"/>
        <w:ind w:left="0"/>
        <w:jc w:val="both"/>
        <w:rPr>
          <w:rFonts w:asciiTheme="majorBidi" w:eastAsia="Times New Roman" w:hAnsiTheme="majorBidi" w:cstheme="majorBidi"/>
          <w:color w:val="000000" w:themeColor="text1"/>
          <w:sz w:val="24"/>
          <w:szCs w:val="24"/>
          <w:lang w:eastAsia="lt-LT"/>
          <w14:ligatures w14:val="none"/>
        </w:rPr>
      </w:pPr>
      <w:bookmarkStart w:id="6" w:name="nb67a88e0-199e-4603-9b12-d60b22c653fb"/>
      <w:r w:rsidRPr="00252AC9">
        <w:rPr>
          <w:rFonts w:asciiTheme="majorBidi" w:eastAsia="Times New Roman" w:hAnsiTheme="majorBidi" w:cstheme="majorBidi"/>
          <w:color w:val="000000" w:themeColor="text1"/>
          <w:sz w:val="24"/>
          <w:szCs w:val="24"/>
          <w:lang w:eastAsia="lt-LT"/>
          <w14:ligatures w14:val="none"/>
        </w:rPr>
        <w:t xml:space="preserve">        </w:t>
      </w:r>
      <w:r w:rsidR="00FC192C">
        <w:rPr>
          <w:rFonts w:asciiTheme="majorBidi" w:eastAsia="Times New Roman" w:hAnsiTheme="majorBidi" w:cstheme="majorBidi"/>
          <w:color w:val="000000" w:themeColor="text1"/>
          <w:sz w:val="24"/>
          <w:szCs w:val="24"/>
          <w:lang w:eastAsia="lt-LT"/>
          <w14:ligatures w14:val="none"/>
        </w:rPr>
        <w:t xml:space="preserve">     </w:t>
      </w:r>
      <w:r w:rsidRPr="00252AC9">
        <w:rPr>
          <w:rFonts w:asciiTheme="majorBidi" w:eastAsia="Times New Roman" w:hAnsiTheme="majorBidi" w:cstheme="majorBidi"/>
          <w:color w:val="000000" w:themeColor="text1"/>
          <w:sz w:val="24"/>
          <w:szCs w:val="24"/>
          <w:lang w:eastAsia="lt-LT"/>
          <w14:ligatures w14:val="none"/>
        </w:rPr>
        <w:t xml:space="preserve">  </w:t>
      </w:r>
      <w:r w:rsidR="00FC192C">
        <w:rPr>
          <w:rFonts w:asciiTheme="majorBidi" w:eastAsia="Times New Roman" w:hAnsiTheme="majorBidi" w:cstheme="majorBidi"/>
          <w:color w:val="000000" w:themeColor="text1"/>
          <w:sz w:val="24"/>
          <w:szCs w:val="24"/>
          <w:lang w:eastAsia="lt-LT"/>
          <w14:ligatures w14:val="none"/>
        </w:rPr>
        <w:t xml:space="preserve"> </w:t>
      </w:r>
      <w:hyperlink r:id="rId8" w:tgtFrame="_blank" w:tooltip="Lietuvos Respublikos civilinis kodeksas. Antroji knyga. Asmenys" w:history="1">
        <w:r w:rsidRPr="00252AC9">
          <w:rPr>
            <w:rFonts w:asciiTheme="majorBidi" w:eastAsia="Times New Roman" w:hAnsiTheme="majorBidi" w:cstheme="majorBidi"/>
            <w:color w:val="000000" w:themeColor="text1"/>
            <w:sz w:val="24"/>
            <w:szCs w:val="24"/>
            <w:lang w:eastAsia="lt-LT"/>
            <w14:ligatures w14:val="none"/>
          </w:rPr>
          <w:t>CK</w:t>
        </w:r>
      </w:hyperlink>
      <w:bookmarkStart w:id="7" w:name="pnb67a88e0-199e-4603-9b12-d60b22c653fb"/>
      <w:bookmarkEnd w:id="6"/>
      <w:bookmarkEnd w:id="7"/>
      <w:r w:rsidRPr="00252AC9">
        <w:rPr>
          <w:rFonts w:asciiTheme="majorBidi" w:eastAsia="Times New Roman" w:hAnsiTheme="majorBidi" w:cstheme="majorBidi"/>
          <w:color w:val="000000" w:themeColor="text1"/>
          <w:sz w:val="24"/>
          <w:szCs w:val="24"/>
          <w:lang w:eastAsia="lt-LT"/>
          <w14:ligatures w14:val="none"/>
        </w:rPr>
        <w:t xml:space="preserve"> </w:t>
      </w:r>
      <w:bookmarkStart w:id="8" w:name="ned4fb351-fd92-425d-8f43-1a5c80145646"/>
      <w:r w:rsidRPr="00252AC9">
        <w:rPr>
          <w:rFonts w:asciiTheme="majorBidi" w:eastAsia="Times New Roman" w:hAnsiTheme="majorBidi" w:cstheme="majorBidi"/>
          <w:color w:val="000000" w:themeColor="text1"/>
          <w:sz w:val="24"/>
          <w:szCs w:val="24"/>
          <w:lang w:eastAsia="lt-LT"/>
          <w14:ligatures w14:val="none"/>
        </w:rPr>
        <w:fldChar w:fldCharType="begin"/>
      </w:r>
      <w:r w:rsidRPr="00252AC9">
        <w:rPr>
          <w:rFonts w:asciiTheme="majorBidi" w:eastAsia="Times New Roman" w:hAnsiTheme="majorBidi" w:cstheme="majorBidi"/>
          <w:color w:val="000000" w:themeColor="text1"/>
          <w:sz w:val="24"/>
          <w:szCs w:val="24"/>
          <w:lang w:eastAsia="lt-LT"/>
          <w14:ligatures w14:val="none"/>
        </w:rPr>
        <w:instrText>HYPERLINK "https://www.infolex.lt/tp/2427249" \o "Pareiškimo padavimas" \t "_blank"</w:instrText>
      </w:r>
      <w:r w:rsidRPr="00252AC9">
        <w:rPr>
          <w:rFonts w:asciiTheme="majorBidi" w:eastAsia="Times New Roman" w:hAnsiTheme="majorBidi" w:cstheme="majorBidi"/>
          <w:color w:val="000000" w:themeColor="text1"/>
          <w:sz w:val="24"/>
          <w:szCs w:val="24"/>
          <w:lang w:eastAsia="lt-LT"/>
          <w14:ligatures w14:val="none"/>
        </w:rPr>
      </w:r>
      <w:r w:rsidRPr="00252AC9">
        <w:rPr>
          <w:rFonts w:asciiTheme="majorBidi" w:eastAsia="Times New Roman" w:hAnsiTheme="majorBidi" w:cstheme="majorBidi"/>
          <w:color w:val="000000" w:themeColor="text1"/>
          <w:sz w:val="24"/>
          <w:szCs w:val="24"/>
          <w:lang w:eastAsia="lt-LT"/>
          <w14:ligatures w14:val="none"/>
        </w:rPr>
        <w:fldChar w:fldCharType="separate"/>
      </w:r>
      <w:r w:rsidRPr="00252AC9">
        <w:rPr>
          <w:rFonts w:asciiTheme="majorBidi" w:eastAsia="Times New Roman" w:hAnsiTheme="majorBidi" w:cstheme="majorBidi"/>
          <w:color w:val="000000" w:themeColor="text1"/>
          <w:sz w:val="24"/>
          <w:szCs w:val="24"/>
          <w:lang w:eastAsia="lt-LT"/>
          <w14:ligatures w14:val="none"/>
        </w:rPr>
        <w:t>2.126</w:t>
      </w:r>
      <w:r w:rsidRPr="00252AC9">
        <w:rPr>
          <w:rFonts w:asciiTheme="majorBidi" w:eastAsia="Times New Roman" w:hAnsiTheme="majorBidi" w:cstheme="majorBidi"/>
          <w:color w:val="000000" w:themeColor="text1"/>
          <w:sz w:val="24"/>
          <w:szCs w:val="24"/>
          <w:lang w:eastAsia="lt-LT"/>
          <w14:ligatures w14:val="none"/>
        </w:rPr>
        <w:fldChar w:fldCharType="end"/>
      </w:r>
      <w:bookmarkStart w:id="9" w:name="pned4fb351-fd92-425d-8f43-1a5c80145646"/>
      <w:bookmarkEnd w:id="8"/>
      <w:bookmarkEnd w:id="9"/>
      <w:r w:rsidRPr="00252AC9">
        <w:rPr>
          <w:rFonts w:asciiTheme="majorBidi" w:eastAsia="Times New Roman" w:hAnsiTheme="majorBidi" w:cstheme="majorBidi"/>
          <w:color w:val="000000" w:themeColor="text1"/>
          <w:sz w:val="24"/>
          <w:szCs w:val="24"/>
          <w:lang w:eastAsia="lt-LT"/>
          <w14:ligatures w14:val="none"/>
        </w:rPr>
        <w:t xml:space="preserve"> straipsnio 2 dalis nustato privalomą ikiteisminę stadiją, pagal kurią pareiškimas dėl juridinio asmens veiklos tyrimo gali būti paduotas teismui tik tuo atveju, jei prieš tai pareiškėjas kreipėsi į juridinį asmenį (juridinio asmens valdymo organą, jo narį) reikalaudamas nutraukti netinkamą veiklą ir suteikė protingumo kriterijus atitinkantį laikotarpį aplinkybėms pašalinti. Kita vertus, kitų privalomų formalių juridinio asmens veiklos tyrimo pradėjimo sąlygų įstatymuose neįtvirtinta. Taigi, tiesioginė juridinio asmens veiklos tyrimo procedūros paskirtis – esant pagrįstų abejonių, ištirti juridinio asmens, jo valdymo organų ar jų narių veiklos tinkamumą ir pašalinti juridinio asmens valdymo trūkumus. Kaip juridinio asmens veiklos tyrimo pagrindas nurodomos netinkamos veiklos aplinkybės turi būti tokios, </w:t>
      </w:r>
      <w:r w:rsidRPr="00252AC9">
        <w:rPr>
          <w:rFonts w:asciiTheme="majorBidi" w:eastAsia="Times New Roman" w:hAnsiTheme="majorBidi" w:cstheme="majorBidi"/>
          <w:color w:val="000000" w:themeColor="text1"/>
          <w:sz w:val="24"/>
          <w:szCs w:val="24"/>
          <w:lang w:eastAsia="lt-LT"/>
          <w14:ligatures w14:val="none"/>
        </w:rPr>
        <w:lastRenderedPageBreak/>
        <w:t>kurios iš esmės pažeistų mažumos akcininkų (narių, dalyvių) interesus ir trukdytų pasiekti juridinio asmens tikslus – mažareikšmiai juridinio asmens (jo valdymo organo ar jo nario) veiklos trūkumai nėra pagrindas pradėti juridinio asmens veiklos tyrimo procedūrą, nes suinteresuotas asmuo savo teises galėtų ginti kitomis (ekonomiškesnėmis) teisių gynimo priemonėmis. Juridinio asmens veiklos tyrimo institutas turėtų būti taikomas, kai siekimą ištirti galimai netinkamą juridinio asmens veiklą sudaro keletas epizodų, reikalaujančių kompleksinio įmonės veiklos patikrinimo pasitelkiant ekspertus, kai kitos akcininkų teisių gynimo priemonės būtų neveiksmingos.</w:t>
      </w:r>
    </w:p>
    <w:p w14:paraId="277210E7"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rPr>
      </w:pPr>
    </w:p>
    <w:p w14:paraId="5DFF2ECE" w14:textId="77777777" w:rsidR="00CC7FF2" w:rsidRPr="00252AC9" w:rsidRDefault="00CC7FF2" w:rsidP="00252AC9">
      <w:pPr>
        <w:pBdr>
          <w:bottom w:val="dotted" w:sz="24" w:space="1" w:color="auto"/>
        </w:pBdr>
        <w:spacing w:after="0" w:line="240" w:lineRule="auto"/>
        <w:jc w:val="both"/>
        <w:rPr>
          <w:rFonts w:asciiTheme="majorBidi" w:hAnsiTheme="majorBidi" w:cstheme="majorBidi"/>
          <w:i/>
          <w:iCs/>
          <w:sz w:val="24"/>
          <w:szCs w:val="24"/>
        </w:rPr>
      </w:pPr>
      <w:r w:rsidRPr="00252AC9">
        <w:rPr>
          <w:rFonts w:asciiTheme="majorBidi" w:hAnsiTheme="majorBidi" w:cstheme="majorBidi"/>
          <w:i/>
          <w:iCs/>
          <w:sz w:val="24"/>
          <w:szCs w:val="24"/>
        </w:rPr>
        <w:t>Lietuvos apeliacinio teismo 2026 m. rugpjūčio 20 d. nutartis, priimta civilinėje byloje Nr.</w:t>
      </w:r>
      <w:r w:rsidRPr="00252AC9">
        <w:rPr>
          <w:rFonts w:asciiTheme="majorBidi" w:hAnsiTheme="majorBidi" w:cstheme="majorBidi"/>
          <w:i/>
          <w:iCs/>
          <w:color w:val="000000"/>
          <w:sz w:val="24"/>
          <w:szCs w:val="24"/>
          <w:shd w:val="clear" w:color="auto" w:fill="FFFFFF"/>
        </w:rPr>
        <w:t>e2-591-881/2026</w:t>
      </w:r>
    </w:p>
    <w:p w14:paraId="7D64609A" w14:textId="77777777" w:rsidR="00CC7FF2" w:rsidRPr="00252AC9" w:rsidRDefault="00CC7FF2" w:rsidP="00252AC9">
      <w:pPr>
        <w:pStyle w:val="NormalWeb"/>
        <w:shd w:val="clear" w:color="auto" w:fill="FFFFFF"/>
        <w:spacing w:before="0" w:beforeAutospacing="0" w:after="0" w:afterAutospacing="0"/>
        <w:jc w:val="both"/>
        <w:rPr>
          <w:rFonts w:asciiTheme="majorBidi" w:hAnsiTheme="majorBidi" w:cstheme="majorBidi"/>
          <w:color w:val="98A7BD" w:themeColor="text2" w:themeTint="80"/>
        </w:rPr>
      </w:pPr>
    </w:p>
    <w:p w14:paraId="0EDADEDF" w14:textId="5BDBC757" w:rsidR="00CC7FF2" w:rsidRPr="00262F06" w:rsidRDefault="00CC7FF2" w:rsidP="00F64223">
      <w:pPr>
        <w:pStyle w:val="ListParagraph"/>
        <w:numPr>
          <w:ilvl w:val="0"/>
          <w:numId w:val="27"/>
        </w:numPr>
        <w:spacing w:after="0" w:line="240" w:lineRule="auto"/>
        <w:ind w:left="1134" w:hanging="141"/>
        <w:jc w:val="both"/>
        <w:rPr>
          <w:rFonts w:asciiTheme="majorBidi" w:hAnsiTheme="majorBidi" w:cstheme="majorBidi"/>
          <w:color w:val="2E74B5" w:themeColor="accent1" w:themeShade="BF"/>
          <w:sz w:val="24"/>
          <w:szCs w:val="24"/>
          <w:shd w:val="clear" w:color="auto" w:fill="FFFFFF"/>
        </w:rPr>
      </w:pPr>
      <w:r w:rsidRPr="00262F06">
        <w:rPr>
          <w:rFonts w:asciiTheme="majorBidi" w:hAnsiTheme="majorBidi" w:cstheme="majorBidi"/>
          <w:color w:val="2E74B5" w:themeColor="accent1" w:themeShade="BF"/>
          <w:sz w:val="24"/>
          <w:szCs w:val="24"/>
          <w:shd w:val="clear" w:color="auto" w:fill="FFFFFF"/>
        </w:rPr>
        <w:t>Dėl nemokumo administratoriaus atstatydinimo pagrįstumo</w:t>
      </w:r>
    </w:p>
    <w:p w14:paraId="7DA4CC47" w14:textId="77777777" w:rsidR="00CC7FF2" w:rsidRPr="00252AC9" w:rsidRDefault="00CC7FF2" w:rsidP="00252AC9">
      <w:pPr>
        <w:pStyle w:val="ListParagraph"/>
        <w:spacing w:after="0" w:line="240" w:lineRule="auto"/>
        <w:ind w:left="0"/>
        <w:jc w:val="both"/>
        <w:rPr>
          <w:rFonts w:asciiTheme="majorBidi" w:hAnsiTheme="majorBidi" w:cstheme="majorBidi"/>
          <w:color w:val="98A7BD" w:themeColor="text2" w:themeTint="80"/>
          <w:sz w:val="24"/>
          <w:szCs w:val="24"/>
          <w:shd w:val="clear" w:color="auto" w:fill="FFFFFF"/>
        </w:rPr>
      </w:pPr>
    </w:p>
    <w:p w14:paraId="363DB3A2" w14:textId="6D4C97C5" w:rsidR="00CC7FF2" w:rsidRPr="00252AC9" w:rsidRDefault="00CC7FF2" w:rsidP="006F7026">
      <w:pPr>
        <w:pStyle w:val="ListParagraph"/>
        <w:tabs>
          <w:tab w:val="left" w:pos="993"/>
        </w:tabs>
        <w:spacing w:after="0" w:line="240" w:lineRule="auto"/>
        <w:ind w:left="0"/>
        <w:jc w:val="both"/>
        <w:rPr>
          <w:rFonts w:asciiTheme="majorBidi" w:hAnsiTheme="majorBidi" w:cstheme="majorBidi"/>
          <w:color w:val="000000"/>
          <w:sz w:val="24"/>
          <w:szCs w:val="24"/>
          <w:shd w:val="clear" w:color="auto" w:fill="FFFFFF"/>
        </w:rPr>
      </w:pPr>
      <w:r w:rsidRPr="00252AC9">
        <w:rPr>
          <w:rFonts w:asciiTheme="majorBidi" w:hAnsiTheme="majorBidi" w:cstheme="majorBidi"/>
          <w:color w:val="000000"/>
          <w:sz w:val="24"/>
          <w:szCs w:val="24"/>
          <w:shd w:val="clear" w:color="auto" w:fill="FFFFFF"/>
        </w:rPr>
        <w:t xml:space="preserve">           </w:t>
      </w:r>
      <w:r w:rsidR="00F64223">
        <w:rPr>
          <w:rFonts w:asciiTheme="majorBidi" w:hAnsiTheme="majorBidi" w:cstheme="majorBidi"/>
          <w:color w:val="000000"/>
          <w:sz w:val="24"/>
          <w:szCs w:val="24"/>
          <w:shd w:val="clear" w:color="auto" w:fill="FFFFFF"/>
        </w:rPr>
        <w:t xml:space="preserve">     </w:t>
      </w:r>
      <w:r w:rsidRPr="00252AC9">
        <w:rPr>
          <w:rFonts w:asciiTheme="majorBidi" w:hAnsiTheme="majorBidi" w:cstheme="majorBidi"/>
          <w:color w:val="000000"/>
          <w:sz w:val="24"/>
          <w:szCs w:val="24"/>
          <w:shd w:val="clear" w:color="auto" w:fill="FFFFFF"/>
        </w:rPr>
        <w:t>Lietuvos apeliacinis teismas nuosekliai formuoja praktiką, kad nemokumo (bankroto) administratoriaus atstatydinimo klausimas turi būti sprendžiamas kiekvienu konkrečiu atveju individualiai, atsižvelgiant į toje bankroto byloje susiklosčiusias aplinkybes (Lietuvos apeliacinio teismo 2018 m. rugsėjo 20 d. nutartis civilinėje byloje Nr. 2-1575-381/2018). Teismas turi įvertinti visas šiam klausimui teisingai išspręsti reikšmingas aplinkybes, susijusias su įstatymo keliamais reikalavimais administratoriui, įtvirtintais draudimais tam tikrą asmenį skirti konkrečios įmonės administratoriumi, bankroto proceso eiga, jos operatyvumu, vykdomų procedūrų skaidrumu, atskirų veiksmų atlikimu, sprendimų priėmimu (Lietuvos apeliacinio teismo 2022 m. balandžio 28 d. nutartis civilinėje byloje Nr.</w:t>
      </w:r>
      <w:r w:rsidR="00225696">
        <w:rPr>
          <w:rFonts w:asciiTheme="majorBidi" w:hAnsiTheme="majorBidi" w:cstheme="majorBidi"/>
          <w:color w:val="000000"/>
          <w:sz w:val="24"/>
          <w:szCs w:val="24"/>
          <w:shd w:val="clear" w:color="auto" w:fill="FFFFFF"/>
        </w:rPr>
        <w:t> </w:t>
      </w:r>
      <w:r w:rsidRPr="00252AC9">
        <w:rPr>
          <w:rFonts w:asciiTheme="majorBidi" w:hAnsiTheme="majorBidi" w:cstheme="majorBidi"/>
          <w:color w:val="000000"/>
          <w:sz w:val="24"/>
          <w:szCs w:val="24"/>
          <w:shd w:val="clear" w:color="auto" w:fill="FFFFFF"/>
        </w:rPr>
        <w:t>e2-452-302/2022).</w:t>
      </w:r>
      <w:r w:rsidRPr="00252AC9">
        <w:rPr>
          <w:rFonts w:asciiTheme="majorBidi" w:hAnsiTheme="majorBidi" w:cstheme="majorBidi"/>
          <w:color w:val="000000"/>
          <w:sz w:val="24"/>
          <w:szCs w:val="24"/>
        </w:rPr>
        <w:br/>
        <w:t xml:space="preserve">         </w:t>
      </w:r>
      <w:r w:rsidR="006F7026">
        <w:rPr>
          <w:rFonts w:asciiTheme="majorBidi" w:hAnsiTheme="majorBidi" w:cstheme="majorBidi"/>
          <w:color w:val="000000"/>
          <w:sz w:val="24"/>
          <w:szCs w:val="24"/>
        </w:rPr>
        <w:t xml:space="preserve">      </w:t>
      </w:r>
      <w:r w:rsidRPr="00252AC9">
        <w:rPr>
          <w:rFonts w:asciiTheme="majorBidi" w:hAnsiTheme="majorBidi" w:cstheme="majorBidi"/>
          <w:color w:val="000000"/>
          <w:sz w:val="24"/>
          <w:szCs w:val="24"/>
        </w:rPr>
        <w:t xml:space="preserve"> L</w:t>
      </w:r>
      <w:r w:rsidRPr="00252AC9">
        <w:rPr>
          <w:rFonts w:asciiTheme="majorBidi" w:hAnsiTheme="majorBidi" w:cstheme="majorBidi"/>
          <w:color w:val="000000"/>
          <w:sz w:val="24"/>
          <w:szCs w:val="24"/>
          <w:shd w:val="clear" w:color="auto" w:fill="FFFFFF"/>
        </w:rPr>
        <w:t>Ap</w:t>
      </w:r>
      <w:r w:rsidR="00E866F4">
        <w:rPr>
          <w:rFonts w:asciiTheme="majorBidi" w:hAnsiTheme="majorBidi" w:cstheme="majorBidi"/>
          <w:color w:val="000000"/>
          <w:sz w:val="24"/>
          <w:szCs w:val="24"/>
          <w:shd w:val="clear" w:color="auto" w:fill="FFFFFF"/>
        </w:rPr>
        <w:t>T</w:t>
      </w:r>
      <w:r w:rsidRPr="00252AC9">
        <w:rPr>
          <w:rFonts w:asciiTheme="majorBidi" w:hAnsiTheme="majorBidi" w:cstheme="majorBidi"/>
          <w:color w:val="000000"/>
          <w:sz w:val="24"/>
          <w:szCs w:val="24"/>
          <w:shd w:val="clear" w:color="auto" w:fill="FFFFFF"/>
        </w:rPr>
        <w:t xml:space="preserve"> pažymi, kad tokį vertinimą teismas privalo atlikti ir tuomet, kai dėl nemokumo administratoriaus atstatydinimo kreipiasi kreditoriai, turintys patvirtintų finansinių reikalavimų nemokiam juridiniam asmeniui daugumą. Apeliacinės instancijos teismas pažymi, kad aplinkybė, jog įstatymų leidėjas JANĮ 39 straipsnio 1 dalies 5 punkte nustatė, jog kreditorių daugumos prašymas dėl nemokumo administratoriaus atstatydinimo turi būti motyvuotas, suponuoja šį klausimą sprendžiančio teismo pareigą tokius motyvus įvertinti – teismas privalo pasisakyti dėl jų pagrįstumo ir pakankamumo. Tai, kad įstatymų leidėjas nustatė teismui pareigą patikrinti, ar patenkinus tokį prašymą nebus pažeistas viešasis interesas (JANĮ 39 straipsnio 1 dalies 5 punktas), be kita ko, sietina ir su ypatinga nemokumo administratoriaus padėtimi bankroto procese, jo funkcijomis ir įgaliojimais, padedančiais užtikrinti proceso efektyvumą. Tais atvejais, kai nemokumo administratoriaus atstatydinimą iš pareigų lemia kreditorių nepasitikėjimas juo, teismas turi nustatyti tokio nepasitikėjimo pagrįstumą, jo atsiradimo priežastis, pagrindą. Taigi, teismo pareiga yra užtikrinti, kad nemokumo administratorius būtų atstatydintas pagrįstai. Nagrinėjamu atveju pirmosios instancijos teismas to nepadarė.</w:t>
      </w:r>
    </w:p>
    <w:p w14:paraId="782120CB"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p>
    <w:p w14:paraId="29F40EDF"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rugpjūčio 21 d. nutartis, priimta civilinėje byloje Nr. </w:t>
      </w:r>
      <w:r w:rsidRPr="00252AC9">
        <w:rPr>
          <w:rFonts w:asciiTheme="majorBidi" w:hAnsiTheme="majorBidi" w:cstheme="majorBidi"/>
          <w:i/>
          <w:iCs/>
          <w:color w:val="000000"/>
          <w:sz w:val="24"/>
          <w:szCs w:val="24"/>
          <w:shd w:val="clear" w:color="auto" w:fill="FFFFFF"/>
        </w:rPr>
        <w:t>e2-750-854/2026</w:t>
      </w:r>
    </w:p>
    <w:p w14:paraId="12EB560F" w14:textId="77777777" w:rsidR="00CC7FF2" w:rsidRDefault="00CC7FF2" w:rsidP="00252AC9">
      <w:pPr>
        <w:pStyle w:val="ListParagraph"/>
        <w:spacing w:after="0" w:line="240" w:lineRule="auto"/>
        <w:ind w:left="0"/>
        <w:jc w:val="both"/>
        <w:rPr>
          <w:rFonts w:asciiTheme="majorBidi" w:hAnsiTheme="majorBidi" w:cstheme="majorBidi"/>
          <w:sz w:val="24"/>
          <w:szCs w:val="24"/>
        </w:rPr>
      </w:pPr>
    </w:p>
    <w:p w14:paraId="698B8819" w14:textId="77777777" w:rsidR="000E2954" w:rsidRDefault="000E2954" w:rsidP="00252AC9">
      <w:pPr>
        <w:pStyle w:val="ListParagraph"/>
        <w:spacing w:after="0" w:line="240" w:lineRule="auto"/>
        <w:ind w:left="0"/>
        <w:jc w:val="both"/>
        <w:rPr>
          <w:rFonts w:asciiTheme="majorBidi" w:hAnsiTheme="majorBidi" w:cstheme="majorBidi"/>
          <w:sz w:val="24"/>
          <w:szCs w:val="24"/>
        </w:rPr>
      </w:pPr>
    </w:p>
    <w:p w14:paraId="43804F98" w14:textId="77777777" w:rsidR="000E2954" w:rsidRDefault="000E2954" w:rsidP="00252AC9">
      <w:pPr>
        <w:pStyle w:val="ListParagraph"/>
        <w:spacing w:after="0" w:line="240" w:lineRule="auto"/>
        <w:ind w:left="0"/>
        <w:jc w:val="both"/>
        <w:rPr>
          <w:rFonts w:asciiTheme="majorBidi" w:hAnsiTheme="majorBidi" w:cstheme="majorBidi"/>
          <w:sz w:val="24"/>
          <w:szCs w:val="24"/>
        </w:rPr>
      </w:pPr>
    </w:p>
    <w:p w14:paraId="6973B216" w14:textId="77777777" w:rsidR="000E2954" w:rsidRPr="00252AC9" w:rsidRDefault="000E2954" w:rsidP="00252AC9">
      <w:pPr>
        <w:pStyle w:val="ListParagraph"/>
        <w:spacing w:after="0" w:line="240" w:lineRule="auto"/>
        <w:ind w:left="0"/>
        <w:jc w:val="both"/>
        <w:rPr>
          <w:rFonts w:asciiTheme="majorBidi" w:hAnsiTheme="majorBidi" w:cstheme="majorBidi"/>
          <w:sz w:val="24"/>
          <w:szCs w:val="24"/>
        </w:rPr>
      </w:pPr>
    </w:p>
    <w:p w14:paraId="69513724" w14:textId="2E4450F6" w:rsidR="00CC7FF2" w:rsidRPr="000E2954" w:rsidRDefault="00CC7FF2" w:rsidP="00E00641">
      <w:pPr>
        <w:pStyle w:val="ListParagraph"/>
        <w:numPr>
          <w:ilvl w:val="0"/>
          <w:numId w:val="27"/>
        </w:numPr>
        <w:spacing w:after="0" w:line="240" w:lineRule="auto"/>
        <w:ind w:left="1134" w:hanging="141"/>
        <w:jc w:val="both"/>
        <w:rPr>
          <w:rFonts w:asciiTheme="majorBidi" w:hAnsiTheme="majorBidi" w:cstheme="majorBidi"/>
          <w:color w:val="5B9BD5" w:themeColor="accent1"/>
          <w:sz w:val="24"/>
          <w:szCs w:val="24"/>
        </w:rPr>
      </w:pPr>
      <w:r w:rsidRPr="00262F06">
        <w:rPr>
          <w:rFonts w:asciiTheme="majorBidi" w:hAnsiTheme="majorBidi" w:cstheme="majorBidi"/>
          <w:color w:val="2E74B5" w:themeColor="accent1" w:themeShade="BF"/>
          <w:sz w:val="24"/>
          <w:szCs w:val="24"/>
        </w:rPr>
        <w:lastRenderedPageBreak/>
        <w:t>Dėl kreditorinio reikalavimo pagrįstumo</w:t>
      </w:r>
    </w:p>
    <w:p w14:paraId="6BBD5B08" w14:textId="77777777" w:rsidR="00CC7FF2" w:rsidRPr="00252AC9" w:rsidRDefault="00CC7FF2" w:rsidP="00252AC9">
      <w:pPr>
        <w:pStyle w:val="ListParagraph"/>
        <w:spacing w:after="0" w:line="240" w:lineRule="auto"/>
        <w:ind w:left="0"/>
        <w:jc w:val="both"/>
        <w:rPr>
          <w:rFonts w:asciiTheme="majorBidi" w:hAnsiTheme="majorBidi" w:cstheme="majorBidi"/>
          <w:sz w:val="24"/>
          <w:szCs w:val="24"/>
        </w:rPr>
      </w:pPr>
    </w:p>
    <w:p w14:paraId="5A5A44E1" w14:textId="2E6748B8" w:rsidR="00CC7FF2" w:rsidRPr="00252AC9" w:rsidRDefault="000E2954" w:rsidP="00E00641">
      <w:pPr>
        <w:pStyle w:val="ListParagraph"/>
        <w:tabs>
          <w:tab w:val="left" w:pos="993"/>
        </w:tabs>
        <w:spacing w:after="0" w:line="240" w:lineRule="auto"/>
        <w:ind w:left="0"/>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            </w:t>
      </w:r>
      <w:r w:rsidR="00E00641">
        <w:rPr>
          <w:rFonts w:asciiTheme="majorBidi" w:hAnsiTheme="majorBidi" w:cstheme="majorBidi"/>
          <w:color w:val="000000"/>
          <w:sz w:val="24"/>
          <w:szCs w:val="24"/>
          <w:shd w:val="clear" w:color="auto" w:fill="FFFFFF"/>
        </w:rPr>
        <w:t xml:space="preserve">    </w:t>
      </w:r>
      <w:r w:rsidR="00CC7FF2" w:rsidRPr="00252AC9">
        <w:rPr>
          <w:rFonts w:asciiTheme="majorBidi" w:hAnsiTheme="majorBidi" w:cstheme="majorBidi"/>
          <w:color w:val="000000"/>
          <w:sz w:val="24"/>
          <w:szCs w:val="24"/>
          <w:shd w:val="clear" w:color="auto" w:fill="FFFFFF"/>
        </w:rPr>
        <w:t>Apeliacinės instancijos teismas pažymi, kad įrodymais pagrįsto finansinio reikalavimo nepatvirtinimas prieštarautų teisingumo, bankroto proceso efektyvumo ir kreditorių lygiateisiškumo principams (</w:t>
      </w:r>
      <w:bookmarkStart w:id="10" w:name="n81cde49d-fd04-4783-9501-8ff508506524"/>
      <w:r w:rsidR="00CC7FF2" w:rsidRPr="002B6AFC">
        <w:rPr>
          <w:rFonts w:asciiTheme="majorBidi" w:hAnsiTheme="majorBidi" w:cstheme="majorBidi"/>
          <w:sz w:val="24"/>
          <w:szCs w:val="24"/>
        </w:rPr>
        <w:fldChar w:fldCharType="begin"/>
      </w:r>
      <w:r w:rsidR="00CC7FF2" w:rsidRPr="002B6AFC">
        <w:rPr>
          <w:rFonts w:asciiTheme="majorBidi" w:hAnsiTheme="majorBidi" w:cstheme="majorBidi"/>
          <w:sz w:val="24"/>
          <w:szCs w:val="24"/>
        </w:rPr>
        <w:instrText>HYPERLINK "https://www.infolex.lt/ta/541479" \o "Lietuvos Respublikos juridinių asmenų nemokumo įstatymas" \t "_blank"</w:instrText>
      </w:r>
      <w:r w:rsidR="00CC7FF2" w:rsidRPr="002B6AFC">
        <w:rPr>
          <w:rFonts w:asciiTheme="majorBidi" w:hAnsiTheme="majorBidi" w:cstheme="majorBidi"/>
          <w:sz w:val="24"/>
          <w:szCs w:val="24"/>
        </w:rPr>
      </w:r>
      <w:r w:rsidR="00CC7FF2" w:rsidRPr="002B6AFC">
        <w:rPr>
          <w:rFonts w:asciiTheme="majorBidi" w:hAnsiTheme="majorBidi" w:cstheme="majorBidi"/>
          <w:sz w:val="24"/>
          <w:szCs w:val="24"/>
        </w:rPr>
        <w:fldChar w:fldCharType="separate"/>
      </w:r>
      <w:r w:rsidR="00CC7FF2" w:rsidRPr="002B6AFC">
        <w:rPr>
          <w:rFonts w:asciiTheme="majorBidi" w:hAnsiTheme="majorBidi" w:cstheme="majorBidi"/>
          <w:color w:val="000000"/>
          <w:sz w:val="24"/>
          <w:szCs w:val="24"/>
          <w:shd w:val="clear" w:color="auto" w:fill="FFFFFF"/>
        </w:rPr>
        <w:t>JANĮ</w:t>
      </w:r>
      <w:r w:rsidR="00CC7FF2" w:rsidRPr="002B6AFC">
        <w:rPr>
          <w:rFonts w:asciiTheme="majorBidi" w:hAnsiTheme="majorBidi" w:cstheme="majorBidi"/>
          <w:sz w:val="24"/>
          <w:szCs w:val="24"/>
        </w:rPr>
        <w:fldChar w:fldCharType="end"/>
      </w:r>
      <w:bookmarkStart w:id="11" w:name="pn81cde49d-fd04-4783-9501-8ff508506524"/>
      <w:bookmarkEnd w:id="10"/>
      <w:bookmarkEnd w:id="11"/>
      <w:r w:rsidR="00CC7FF2" w:rsidRPr="00252AC9">
        <w:rPr>
          <w:rFonts w:asciiTheme="majorBidi" w:hAnsiTheme="majorBidi" w:cstheme="majorBidi"/>
          <w:color w:val="000000"/>
          <w:sz w:val="24"/>
          <w:szCs w:val="24"/>
          <w:shd w:val="clear" w:color="auto" w:fill="FFFFFF"/>
        </w:rPr>
        <w:t xml:space="preserve"> </w:t>
      </w:r>
      <w:bookmarkStart w:id="12" w:name="nc27aef3a-1838-4f73-a809-ea6d405b3b19"/>
      <w:r w:rsidR="00CC7FF2" w:rsidRPr="00D43202">
        <w:rPr>
          <w:rFonts w:asciiTheme="majorBidi" w:hAnsiTheme="majorBidi" w:cstheme="majorBidi"/>
          <w:sz w:val="24"/>
          <w:szCs w:val="24"/>
        </w:rPr>
        <w:fldChar w:fldCharType="begin"/>
      </w:r>
      <w:r w:rsidR="00CC7FF2" w:rsidRPr="00D43202">
        <w:rPr>
          <w:rFonts w:asciiTheme="majorBidi" w:hAnsiTheme="majorBidi" w:cstheme="majorBidi"/>
          <w:sz w:val="24"/>
          <w:szCs w:val="24"/>
        </w:rPr>
        <w:instrText>HYPERLINK "https://www.infolex.lt/tp/2429968" \o "Nemokumo proceso principai" \t "_blank"</w:instrText>
      </w:r>
      <w:r w:rsidR="00CC7FF2" w:rsidRPr="00D43202">
        <w:rPr>
          <w:rFonts w:asciiTheme="majorBidi" w:hAnsiTheme="majorBidi" w:cstheme="majorBidi"/>
          <w:sz w:val="24"/>
          <w:szCs w:val="24"/>
        </w:rPr>
      </w:r>
      <w:r w:rsidR="00CC7FF2" w:rsidRPr="00D43202">
        <w:rPr>
          <w:rFonts w:asciiTheme="majorBidi" w:hAnsiTheme="majorBidi" w:cstheme="majorBidi"/>
          <w:sz w:val="24"/>
          <w:szCs w:val="24"/>
        </w:rPr>
        <w:fldChar w:fldCharType="separate"/>
      </w:r>
      <w:r w:rsidR="00CC7FF2" w:rsidRPr="00D43202">
        <w:rPr>
          <w:rFonts w:asciiTheme="majorBidi" w:hAnsiTheme="majorBidi" w:cstheme="majorBidi"/>
          <w:color w:val="000000"/>
          <w:sz w:val="24"/>
          <w:szCs w:val="24"/>
          <w:shd w:val="clear" w:color="auto" w:fill="FFFFFF"/>
        </w:rPr>
        <w:t>3</w:t>
      </w:r>
      <w:r w:rsidR="00CC7FF2" w:rsidRPr="00D43202">
        <w:rPr>
          <w:rFonts w:asciiTheme="majorBidi" w:hAnsiTheme="majorBidi" w:cstheme="majorBidi"/>
          <w:sz w:val="24"/>
          <w:szCs w:val="24"/>
        </w:rPr>
        <w:fldChar w:fldCharType="end"/>
      </w:r>
      <w:bookmarkStart w:id="13" w:name="pnc27aef3a-1838-4f73-a809-ea6d405b3b19"/>
      <w:bookmarkEnd w:id="12"/>
      <w:bookmarkEnd w:id="13"/>
      <w:r w:rsidR="00CC7FF2" w:rsidRPr="00252AC9">
        <w:rPr>
          <w:rFonts w:asciiTheme="majorBidi" w:hAnsiTheme="majorBidi" w:cstheme="majorBidi"/>
          <w:color w:val="000000"/>
          <w:sz w:val="24"/>
          <w:szCs w:val="24"/>
          <w:shd w:val="clear" w:color="auto" w:fill="FFFFFF"/>
        </w:rPr>
        <w:t xml:space="preserve"> straipsnis) bei neatitiktų nemokumo proceso paskirties ir tikslo. Vien tai, kad bendrovė turi subjektyvią nuomonę dėl byloje pateiktų įrodymų įvertinimo ir jų įrodomosios reikšmės bei šalių sudarytos sutarties nuostatų aiškinimo,</w:t>
      </w:r>
      <w:r w:rsidR="00225696">
        <w:rPr>
          <w:rFonts w:asciiTheme="majorBidi" w:hAnsiTheme="majorBidi" w:cstheme="majorBidi"/>
          <w:color w:val="000000"/>
          <w:sz w:val="24"/>
          <w:szCs w:val="24"/>
          <w:shd w:val="clear" w:color="auto" w:fill="FFFFFF"/>
        </w:rPr>
        <w:t xml:space="preserve"> </w:t>
      </w:r>
      <w:r w:rsidR="00CC7FF2" w:rsidRPr="00252AC9">
        <w:rPr>
          <w:rFonts w:asciiTheme="majorBidi" w:hAnsiTheme="majorBidi" w:cstheme="majorBidi"/>
          <w:color w:val="000000"/>
          <w:sz w:val="24"/>
          <w:szCs w:val="24"/>
          <w:shd w:val="clear" w:color="auto" w:fill="FFFFFF"/>
        </w:rPr>
        <w:t>nesuponuoja išvados, jog pirmosios instancijos teismas, patvirtindamas įrodymais pagrįstą finansinį reikalavimą, pažeidė įrodinėjimą reglamentuojančias proceso teisės normas ar sutarčių aiškinimo taisykles bei nesudaro pagrindo panaikinti skundžiamą pirmosios instancijos teismo nutartį.</w:t>
      </w:r>
    </w:p>
    <w:p w14:paraId="5411590F"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p>
    <w:p w14:paraId="38926ED0"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rugpjūčio 25 d. nutartis, priimta civilinėje byloje Nr. </w:t>
      </w:r>
      <w:r w:rsidRPr="00252AC9">
        <w:rPr>
          <w:rFonts w:asciiTheme="majorBidi" w:hAnsiTheme="majorBidi" w:cstheme="majorBidi"/>
          <w:i/>
          <w:iCs/>
          <w:color w:val="000000"/>
          <w:sz w:val="24"/>
          <w:szCs w:val="24"/>
          <w:shd w:val="clear" w:color="auto" w:fill="FFFFFF"/>
        </w:rPr>
        <w:t>e2-630-567/2026</w:t>
      </w:r>
    </w:p>
    <w:p w14:paraId="64B1FDA6" w14:textId="77777777" w:rsidR="00CC7FF2" w:rsidRPr="00252AC9" w:rsidRDefault="00CC7FF2" w:rsidP="00252AC9">
      <w:pPr>
        <w:spacing w:after="0" w:line="240" w:lineRule="auto"/>
        <w:jc w:val="both"/>
        <w:rPr>
          <w:rFonts w:asciiTheme="majorBidi" w:hAnsiTheme="majorBidi" w:cstheme="majorBidi"/>
          <w:sz w:val="24"/>
          <w:szCs w:val="24"/>
        </w:rPr>
      </w:pPr>
    </w:p>
    <w:p w14:paraId="1B5CAC36" w14:textId="1EB8A96E" w:rsidR="00CC7FF2" w:rsidRPr="00262F06" w:rsidRDefault="00CC7FF2" w:rsidP="003F5D60">
      <w:pPr>
        <w:pStyle w:val="ListParagraph"/>
        <w:numPr>
          <w:ilvl w:val="0"/>
          <w:numId w:val="27"/>
        </w:numPr>
        <w:spacing w:after="0" w:line="240" w:lineRule="auto"/>
        <w:ind w:left="1134" w:hanging="141"/>
        <w:jc w:val="both"/>
        <w:rPr>
          <w:rFonts w:asciiTheme="majorBidi" w:hAnsiTheme="majorBidi" w:cstheme="majorBidi"/>
          <w:color w:val="2E74B5" w:themeColor="accent1" w:themeShade="BF"/>
          <w:sz w:val="24"/>
          <w:szCs w:val="24"/>
        </w:rPr>
      </w:pPr>
      <w:r w:rsidRPr="00262F06">
        <w:rPr>
          <w:rFonts w:asciiTheme="majorBidi" w:hAnsiTheme="majorBidi" w:cstheme="majorBidi"/>
          <w:color w:val="2E74B5" w:themeColor="accent1" w:themeShade="BF"/>
          <w:sz w:val="24"/>
          <w:szCs w:val="24"/>
        </w:rPr>
        <w:t xml:space="preserve">Dėl kreditorių susirinkimo sprendimų </w:t>
      </w:r>
    </w:p>
    <w:p w14:paraId="4D476477" w14:textId="77777777" w:rsidR="00CC7FF2" w:rsidRPr="00252AC9" w:rsidRDefault="00CC7FF2" w:rsidP="00252AC9">
      <w:pPr>
        <w:pStyle w:val="ListParagraph"/>
        <w:spacing w:after="0" w:line="240" w:lineRule="auto"/>
        <w:ind w:left="0"/>
        <w:jc w:val="both"/>
        <w:rPr>
          <w:rFonts w:asciiTheme="majorBidi" w:hAnsiTheme="majorBidi" w:cstheme="majorBidi"/>
          <w:color w:val="98A7BD" w:themeColor="text2" w:themeTint="80"/>
          <w:sz w:val="24"/>
          <w:szCs w:val="24"/>
        </w:rPr>
      </w:pPr>
    </w:p>
    <w:p w14:paraId="46E602B2" w14:textId="0FE6126B" w:rsidR="00CC7FF2" w:rsidRPr="00252AC9" w:rsidRDefault="00CC7FF2" w:rsidP="003F5D60">
      <w:pPr>
        <w:pStyle w:val="ListParagraph"/>
        <w:shd w:val="clear" w:color="auto" w:fill="FFFFFF"/>
        <w:tabs>
          <w:tab w:val="left" w:pos="993"/>
        </w:tabs>
        <w:spacing w:after="0" w:line="240" w:lineRule="auto"/>
        <w:ind w:left="0"/>
        <w:jc w:val="both"/>
        <w:rPr>
          <w:rFonts w:asciiTheme="majorBidi" w:eastAsia="Times New Roman" w:hAnsiTheme="majorBidi" w:cstheme="majorBidi"/>
          <w:color w:val="000000"/>
          <w:sz w:val="24"/>
          <w:szCs w:val="24"/>
          <w:lang w:eastAsia="lt-LT"/>
        </w:rPr>
      </w:pPr>
      <w:r w:rsidRPr="00252AC9">
        <w:rPr>
          <w:rFonts w:asciiTheme="majorBidi" w:eastAsia="Times New Roman" w:hAnsiTheme="majorBidi" w:cstheme="majorBidi"/>
          <w:color w:val="000000"/>
          <w:sz w:val="24"/>
          <w:szCs w:val="24"/>
          <w:lang w:eastAsia="lt-LT"/>
        </w:rPr>
        <w:t xml:space="preserve">           </w:t>
      </w:r>
      <w:r w:rsidR="00152D42">
        <w:rPr>
          <w:rFonts w:asciiTheme="majorBidi" w:eastAsia="Times New Roman" w:hAnsiTheme="majorBidi" w:cstheme="majorBidi"/>
          <w:color w:val="000000"/>
          <w:sz w:val="24"/>
          <w:szCs w:val="24"/>
          <w:lang w:eastAsia="lt-LT"/>
        </w:rPr>
        <w:t xml:space="preserve">   </w:t>
      </w:r>
      <w:r w:rsidR="003F5D60">
        <w:rPr>
          <w:rFonts w:asciiTheme="majorBidi" w:eastAsia="Times New Roman" w:hAnsiTheme="majorBidi" w:cstheme="majorBidi"/>
          <w:color w:val="000000"/>
          <w:sz w:val="24"/>
          <w:szCs w:val="24"/>
          <w:lang w:eastAsia="lt-LT"/>
        </w:rPr>
        <w:t xml:space="preserve">  </w:t>
      </w:r>
      <w:r w:rsidRPr="00252AC9">
        <w:rPr>
          <w:rFonts w:asciiTheme="majorBidi" w:eastAsia="Times New Roman" w:hAnsiTheme="majorBidi" w:cstheme="majorBidi"/>
          <w:color w:val="000000"/>
          <w:sz w:val="24"/>
          <w:szCs w:val="24"/>
          <w:lang w:eastAsia="lt-LT"/>
        </w:rPr>
        <w:t>LAp</w:t>
      </w:r>
      <w:r w:rsidR="00BA7090">
        <w:rPr>
          <w:rFonts w:asciiTheme="majorBidi" w:eastAsia="Times New Roman" w:hAnsiTheme="majorBidi" w:cstheme="majorBidi"/>
          <w:color w:val="000000"/>
          <w:sz w:val="24"/>
          <w:szCs w:val="24"/>
          <w:lang w:eastAsia="lt-LT"/>
        </w:rPr>
        <w:t>T</w:t>
      </w:r>
      <w:r w:rsidRPr="00252AC9">
        <w:rPr>
          <w:rFonts w:asciiTheme="majorBidi" w:eastAsia="Times New Roman" w:hAnsiTheme="majorBidi" w:cstheme="majorBidi"/>
          <w:color w:val="000000"/>
          <w:sz w:val="24"/>
          <w:szCs w:val="24"/>
          <w:lang w:eastAsia="lt-LT"/>
        </w:rPr>
        <w:t xml:space="preserve"> pažymi, kad </w:t>
      </w:r>
      <w:bookmarkStart w:id="14" w:name="n2bb66881-2f51-43ad-bb02-94ab8e675ea7"/>
      <w:r w:rsidRPr="00E47453">
        <w:rPr>
          <w:rFonts w:asciiTheme="majorBidi" w:eastAsia="Times New Roman" w:hAnsiTheme="majorBidi" w:cstheme="majorBidi"/>
          <w:color w:val="000000"/>
          <w:sz w:val="24"/>
          <w:szCs w:val="24"/>
          <w:lang w:eastAsia="lt-LT"/>
        </w:rPr>
        <w:fldChar w:fldCharType="begin"/>
      </w:r>
      <w:r w:rsidRPr="00E47453">
        <w:rPr>
          <w:rFonts w:asciiTheme="majorBidi" w:eastAsia="Times New Roman" w:hAnsiTheme="majorBidi" w:cstheme="majorBidi"/>
          <w:color w:val="000000"/>
          <w:sz w:val="24"/>
          <w:szCs w:val="24"/>
          <w:lang w:eastAsia="lt-LT"/>
        </w:rPr>
        <w:instrText>HYPERLINK "https://www.infolex.lt/ta/18140" \o "Lietuvos Respublikos civilinis kodeksas. Ketvirtoji knyga. Daiktinė teisė" \t "_blank"</w:instrText>
      </w:r>
      <w:r w:rsidRPr="00E47453">
        <w:rPr>
          <w:rFonts w:asciiTheme="majorBidi" w:eastAsia="Times New Roman" w:hAnsiTheme="majorBidi" w:cstheme="majorBidi"/>
          <w:color w:val="000000"/>
          <w:sz w:val="24"/>
          <w:szCs w:val="24"/>
          <w:lang w:eastAsia="lt-LT"/>
        </w:rPr>
      </w:r>
      <w:r w:rsidRPr="00E47453">
        <w:rPr>
          <w:rFonts w:asciiTheme="majorBidi" w:eastAsia="Times New Roman" w:hAnsiTheme="majorBidi" w:cstheme="majorBidi"/>
          <w:color w:val="000000"/>
          <w:sz w:val="24"/>
          <w:szCs w:val="24"/>
          <w:lang w:eastAsia="lt-LT"/>
        </w:rPr>
        <w:fldChar w:fldCharType="separate"/>
      </w:r>
      <w:r w:rsidRPr="00E47453">
        <w:rPr>
          <w:rFonts w:asciiTheme="majorBidi" w:eastAsia="Times New Roman" w:hAnsiTheme="majorBidi" w:cstheme="majorBidi"/>
          <w:color w:val="000000"/>
          <w:sz w:val="24"/>
          <w:szCs w:val="24"/>
          <w:lang w:eastAsia="lt-LT"/>
        </w:rPr>
        <w:t>CK</w:t>
      </w:r>
      <w:r w:rsidRPr="00E47453">
        <w:rPr>
          <w:rFonts w:asciiTheme="majorBidi" w:eastAsia="Times New Roman" w:hAnsiTheme="majorBidi" w:cstheme="majorBidi"/>
          <w:color w:val="000000"/>
          <w:sz w:val="24"/>
          <w:szCs w:val="24"/>
          <w:lang w:eastAsia="lt-LT"/>
        </w:rPr>
        <w:fldChar w:fldCharType="end"/>
      </w:r>
      <w:bookmarkStart w:id="15" w:name="pn2bb66881-2f51-43ad-bb02-94ab8e675ea7"/>
      <w:bookmarkEnd w:id="14"/>
      <w:bookmarkEnd w:id="15"/>
      <w:r w:rsidRPr="00E47453">
        <w:rPr>
          <w:rFonts w:asciiTheme="majorBidi" w:eastAsia="Times New Roman" w:hAnsiTheme="majorBidi" w:cstheme="majorBidi"/>
          <w:color w:val="000000"/>
          <w:sz w:val="24"/>
          <w:szCs w:val="24"/>
          <w:lang w:eastAsia="lt-LT"/>
        </w:rPr>
        <w:t xml:space="preserve"> </w:t>
      </w:r>
      <w:bookmarkStart w:id="16" w:name="n9269ee67-68d2-404f-baca-212c3ced72f6"/>
      <w:r w:rsidRPr="00E47453">
        <w:rPr>
          <w:rFonts w:asciiTheme="majorBidi" w:eastAsia="Times New Roman" w:hAnsiTheme="majorBidi" w:cstheme="majorBidi"/>
          <w:color w:val="000000"/>
          <w:sz w:val="24"/>
          <w:szCs w:val="24"/>
          <w:lang w:eastAsia="lt-LT"/>
        </w:rPr>
        <w:fldChar w:fldCharType="begin"/>
      </w:r>
      <w:r w:rsidRPr="00E47453">
        <w:rPr>
          <w:rFonts w:asciiTheme="majorBidi" w:eastAsia="Times New Roman" w:hAnsiTheme="majorBidi" w:cstheme="majorBidi"/>
          <w:color w:val="000000"/>
          <w:sz w:val="24"/>
          <w:szCs w:val="24"/>
          <w:lang w:eastAsia="lt-LT"/>
        </w:rPr>
        <w:instrText>HYPERLINK "https://www.infolex.lt/tp/2429978" \o "Statybos, pažeidžiančios teisės aktų reikalavimus, civilinės teisinės pasekmės" \t "_blank"</w:instrText>
      </w:r>
      <w:r w:rsidRPr="00E47453">
        <w:rPr>
          <w:rFonts w:asciiTheme="majorBidi" w:eastAsia="Times New Roman" w:hAnsiTheme="majorBidi" w:cstheme="majorBidi"/>
          <w:color w:val="000000"/>
          <w:sz w:val="24"/>
          <w:szCs w:val="24"/>
          <w:lang w:eastAsia="lt-LT"/>
        </w:rPr>
      </w:r>
      <w:r w:rsidRPr="00E47453">
        <w:rPr>
          <w:rFonts w:asciiTheme="majorBidi" w:eastAsia="Times New Roman" w:hAnsiTheme="majorBidi" w:cstheme="majorBidi"/>
          <w:color w:val="000000"/>
          <w:sz w:val="24"/>
          <w:szCs w:val="24"/>
          <w:lang w:eastAsia="lt-LT"/>
        </w:rPr>
        <w:fldChar w:fldCharType="separate"/>
      </w:r>
      <w:r w:rsidRPr="00E47453">
        <w:rPr>
          <w:rFonts w:asciiTheme="majorBidi" w:eastAsia="Times New Roman" w:hAnsiTheme="majorBidi" w:cstheme="majorBidi"/>
          <w:color w:val="000000"/>
          <w:sz w:val="24"/>
          <w:szCs w:val="24"/>
          <w:lang w:eastAsia="lt-LT"/>
        </w:rPr>
        <w:t>4.103</w:t>
      </w:r>
      <w:r w:rsidRPr="00E47453">
        <w:rPr>
          <w:rFonts w:asciiTheme="majorBidi" w:eastAsia="Times New Roman" w:hAnsiTheme="majorBidi" w:cstheme="majorBidi"/>
          <w:color w:val="000000"/>
          <w:sz w:val="24"/>
          <w:szCs w:val="24"/>
          <w:lang w:eastAsia="lt-LT"/>
        </w:rPr>
        <w:fldChar w:fldCharType="end"/>
      </w:r>
      <w:bookmarkStart w:id="17" w:name="pn9269ee67-68d2-404f-baca-212c3ced72f6"/>
      <w:bookmarkEnd w:id="16"/>
      <w:bookmarkEnd w:id="17"/>
      <w:r w:rsidRPr="00252AC9">
        <w:rPr>
          <w:rFonts w:asciiTheme="majorBidi" w:eastAsia="Times New Roman" w:hAnsiTheme="majorBidi" w:cstheme="majorBidi"/>
          <w:color w:val="000000"/>
          <w:sz w:val="24"/>
          <w:szCs w:val="24"/>
          <w:lang w:eastAsia="lt-LT"/>
        </w:rPr>
        <w:t xml:space="preserve"> straipsnio 1 dalyje yra nustatyta, jog tuo atveju, jeigu statinys (jo dalis) yra pastatytas ar statomas savavališkai arba ne savavališkai, tačiau pažeidžiant statinio projekto sprendinius ar teisės aktų reikalavimus, tai tokiu statiniu (jo dalimi) naudotis ar juo disponuoti (parduoti, padovanoti, išnuomoti ar pan.) draudžiama. Atsižvelgęs į nurodytą teisinį reglamentavimą ir teismų praktiką, pirmosios instancijos teismas pagrįstai nurodė, kad savavališkos statybos objektas negali būti perduotas savivaldybės nuosavybėn. Pastatas negali būti realizuojamas, todėl šiuo atveju nėra teisinio pagrindo jį parduoti </w:t>
      </w:r>
      <w:bookmarkStart w:id="18" w:name="n5eece4c6-ff1f-4e72-ad34-bafcfce1f6ef"/>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19" w:name="pn5eece4c6-ff1f-4e72-ad34-bafcfce1f6ef"/>
      <w:bookmarkEnd w:id="18"/>
      <w:bookmarkEnd w:id="19"/>
      <w:r w:rsidRPr="00252AC9">
        <w:rPr>
          <w:rFonts w:asciiTheme="majorBidi" w:eastAsia="Times New Roman" w:hAnsiTheme="majorBidi" w:cstheme="majorBidi"/>
          <w:color w:val="000000"/>
          <w:sz w:val="24"/>
          <w:szCs w:val="24"/>
          <w:lang w:eastAsia="lt-LT"/>
        </w:rPr>
        <w:t xml:space="preserve"> nustatyta tvarka. Pažymėtina ir tai, kad </w:t>
      </w:r>
      <w:bookmarkStart w:id="20" w:name="n8b8542c7-a2a2-4e02-ad69-551803482686"/>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21" w:name="pn8b8542c7-a2a2-4e02-ad69-551803482686"/>
      <w:bookmarkEnd w:id="20"/>
      <w:bookmarkEnd w:id="21"/>
      <w:r w:rsidRPr="00252AC9">
        <w:rPr>
          <w:rFonts w:asciiTheme="majorBidi" w:eastAsia="Times New Roman" w:hAnsiTheme="majorBidi" w:cstheme="majorBidi"/>
          <w:color w:val="000000"/>
          <w:sz w:val="24"/>
          <w:szCs w:val="24"/>
          <w:lang w:eastAsia="lt-LT"/>
        </w:rPr>
        <w:t xml:space="preserve"> reguliuoja ne turtinius santykius, o juridinių asmenų restruktūrizavimo ir bankroto procesus. </w:t>
      </w:r>
      <w:bookmarkStart w:id="22" w:name="n7a14f6d1-00c0-41b7-98f8-97f95f2cc0c1"/>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23" w:name="pn7a14f6d1-00c0-41b7-98f8-97f95f2cc0c1"/>
      <w:bookmarkEnd w:id="22"/>
      <w:bookmarkEnd w:id="23"/>
      <w:r w:rsidRPr="00252AC9">
        <w:rPr>
          <w:rFonts w:asciiTheme="majorBidi" w:eastAsia="Times New Roman" w:hAnsiTheme="majorBidi" w:cstheme="majorBidi"/>
          <w:color w:val="000000"/>
          <w:sz w:val="24"/>
          <w:szCs w:val="24"/>
          <w:lang w:eastAsia="lt-LT"/>
        </w:rPr>
        <w:t xml:space="preserve"> nereglamentuoja atvejų dėl neteisėtos statybos pastato nugriovimo teisinių pasekmių. Turtinių teisinių santykių reguliavimas yra priskirtas </w:t>
      </w:r>
      <w:bookmarkStart w:id="24" w:name="n658a43ac-868e-4331-bdb4-59752ab37630"/>
      <w:r w:rsidRPr="00E47453">
        <w:rPr>
          <w:rFonts w:asciiTheme="majorBidi" w:eastAsia="Times New Roman" w:hAnsiTheme="majorBidi" w:cstheme="majorBidi"/>
          <w:color w:val="000000"/>
          <w:sz w:val="24"/>
          <w:szCs w:val="24"/>
          <w:lang w:eastAsia="lt-LT"/>
        </w:rPr>
        <w:fldChar w:fldCharType="begin"/>
      </w:r>
      <w:r w:rsidRPr="00E47453">
        <w:rPr>
          <w:rFonts w:asciiTheme="majorBidi" w:eastAsia="Times New Roman" w:hAnsiTheme="majorBidi" w:cstheme="majorBidi"/>
          <w:color w:val="000000"/>
          <w:sz w:val="24"/>
          <w:szCs w:val="24"/>
          <w:lang w:eastAsia="lt-LT"/>
        </w:rPr>
        <w:instrText>HYPERLINK "https://www.infolex.lt/ta/100228" \o "Lietuvos Respublikos civilinis kodeksas" \t "_blank"</w:instrText>
      </w:r>
      <w:r w:rsidRPr="00E47453">
        <w:rPr>
          <w:rFonts w:asciiTheme="majorBidi" w:eastAsia="Times New Roman" w:hAnsiTheme="majorBidi" w:cstheme="majorBidi"/>
          <w:color w:val="000000"/>
          <w:sz w:val="24"/>
          <w:szCs w:val="24"/>
          <w:lang w:eastAsia="lt-LT"/>
        </w:rPr>
      </w:r>
      <w:r w:rsidRPr="00E47453">
        <w:rPr>
          <w:rFonts w:asciiTheme="majorBidi" w:eastAsia="Times New Roman" w:hAnsiTheme="majorBidi" w:cstheme="majorBidi"/>
          <w:color w:val="000000"/>
          <w:sz w:val="24"/>
          <w:szCs w:val="24"/>
          <w:lang w:eastAsia="lt-LT"/>
        </w:rPr>
        <w:fldChar w:fldCharType="separate"/>
      </w:r>
      <w:r w:rsidRPr="00E47453">
        <w:rPr>
          <w:rFonts w:asciiTheme="majorBidi" w:eastAsia="Times New Roman" w:hAnsiTheme="majorBidi" w:cstheme="majorBidi"/>
          <w:color w:val="000000"/>
          <w:sz w:val="24"/>
          <w:szCs w:val="24"/>
          <w:lang w:eastAsia="lt-LT"/>
        </w:rPr>
        <w:t>CK</w:t>
      </w:r>
      <w:r w:rsidRPr="00E47453">
        <w:rPr>
          <w:rFonts w:asciiTheme="majorBidi" w:eastAsia="Times New Roman" w:hAnsiTheme="majorBidi" w:cstheme="majorBidi"/>
          <w:color w:val="000000"/>
          <w:sz w:val="24"/>
          <w:szCs w:val="24"/>
          <w:lang w:eastAsia="lt-LT"/>
        </w:rPr>
        <w:fldChar w:fldCharType="end"/>
      </w:r>
      <w:bookmarkStart w:id="25" w:name="pn658a43ac-868e-4331-bdb4-59752ab37630"/>
      <w:bookmarkEnd w:id="24"/>
      <w:bookmarkEnd w:id="25"/>
      <w:r w:rsidRPr="00252AC9">
        <w:rPr>
          <w:rFonts w:asciiTheme="majorBidi" w:eastAsia="Times New Roman" w:hAnsiTheme="majorBidi" w:cstheme="majorBidi"/>
          <w:color w:val="000000"/>
          <w:sz w:val="24"/>
          <w:szCs w:val="24"/>
          <w:lang w:eastAsia="lt-LT"/>
        </w:rPr>
        <w:t xml:space="preserve"> nuostatoms.</w:t>
      </w:r>
    </w:p>
    <w:p w14:paraId="01023BDD" w14:textId="375D7116" w:rsidR="00CC7FF2" w:rsidRPr="00252AC9" w:rsidRDefault="00CC7FF2" w:rsidP="0023239C">
      <w:pPr>
        <w:pStyle w:val="ListParagraph"/>
        <w:shd w:val="clear" w:color="auto" w:fill="FFFFFF"/>
        <w:tabs>
          <w:tab w:val="left" w:pos="993"/>
        </w:tabs>
        <w:spacing w:after="0" w:line="240" w:lineRule="auto"/>
        <w:ind w:left="0"/>
        <w:jc w:val="both"/>
        <w:rPr>
          <w:rFonts w:asciiTheme="majorBidi" w:eastAsia="Times New Roman" w:hAnsiTheme="majorBidi" w:cstheme="majorBidi"/>
          <w:color w:val="000000"/>
          <w:sz w:val="24"/>
          <w:szCs w:val="24"/>
          <w:lang w:eastAsia="lt-LT"/>
        </w:rPr>
      </w:pPr>
      <w:r w:rsidRPr="00252AC9">
        <w:rPr>
          <w:rFonts w:asciiTheme="majorBidi" w:eastAsia="Times New Roman" w:hAnsiTheme="majorBidi" w:cstheme="majorBidi"/>
          <w:color w:val="000000"/>
          <w:sz w:val="24"/>
          <w:szCs w:val="24"/>
          <w:lang w:eastAsia="lt-LT"/>
        </w:rPr>
        <w:t xml:space="preserve">          </w:t>
      </w:r>
      <w:r w:rsidR="0023239C">
        <w:rPr>
          <w:rFonts w:asciiTheme="majorBidi" w:eastAsia="Times New Roman" w:hAnsiTheme="majorBidi" w:cstheme="majorBidi"/>
          <w:color w:val="000000"/>
          <w:sz w:val="24"/>
          <w:szCs w:val="24"/>
          <w:lang w:eastAsia="lt-LT"/>
        </w:rPr>
        <w:t xml:space="preserve">      </w:t>
      </w:r>
      <w:r w:rsidRPr="00252AC9">
        <w:rPr>
          <w:rFonts w:asciiTheme="majorBidi" w:eastAsia="Times New Roman" w:hAnsiTheme="majorBidi" w:cstheme="majorBidi"/>
          <w:color w:val="000000"/>
          <w:sz w:val="24"/>
          <w:szCs w:val="24"/>
          <w:lang w:eastAsia="lt-LT"/>
        </w:rPr>
        <w:t>LAp</w:t>
      </w:r>
      <w:r w:rsidR="00BA7090">
        <w:rPr>
          <w:rFonts w:asciiTheme="majorBidi" w:eastAsia="Times New Roman" w:hAnsiTheme="majorBidi" w:cstheme="majorBidi"/>
          <w:color w:val="000000"/>
          <w:sz w:val="24"/>
          <w:szCs w:val="24"/>
          <w:lang w:eastAsia="lt-LT"/>
        </w:rPr>
        <w:t>T</w:t>
      </w:r>
      <w:r w:rsidRPr="00252AC9">
        <w:rPr>
          <w:rFonts w:asciiTheme="majorBidi" w:eastAsia="Times New Roman" w:hAnsiTheme="majorBidi" w:cstheme="majorBidi"/>
          <w:color w:val="000000"/>
          <w:sz w:val="24"/>
          <w:szCs w:val="24"/>
          <w:lang w:eastAsia="lt-LT"/>
        </w:rPr>
        <w:t xml:space="preserve"> konstatuoja, kad </w:t>
      </w:r>
      <w:bookmarkStart w:id="26" w:name="n4cfa5964-28fe-413f-b91e-629bb5a43b56"/>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27" w:name="pn4cfa5964-28fe-413f-b91e-629bb5a43b56"/>
      <w:bookmarkEnd w:id="26"/>
      <w:bookmarkEnd w:id="27"/>
      <w:r w:rsidRPr="00252AC9">
        <w:rPr>
          <w:rFonts w:asciiTheme="majorBidi" w:eastAsia="Times New Roman" w:hAnsiTheme="majorBidi" w:cstheme="majorBidi"/>
          <w:color w:val="000000"/>
          <w:sz w:val="24"/>
          <w:szCs w:val="24"/>
          <w:lang w:eastAsia="lt-LT"/>
        </w:rPr>
        <w:t xml:space="preserve"> </w:t>
      </w:r>
      <w:bookmarkStart w:id="28" w:name="nfeb47910-3112-4cdb-b752-2d2f58d16aeb"/>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"Neparduoto turto nurašymas"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92</w:t>
      </w:r>
      <w:r w:rsidRPr="00252AC9">
        <w:rPr>
          <w:rFonts w:asciiTheme="majorBidi" w:eastAsia="Times New Roman" w:hAnsiTheme="majorBidi" w:cstheme="majorBidi"/>
          <w:color w:val="000000"/>
          <w:sz w:val="24"/>
          <w:szCs w:val="24"/>
          <w:lang w:eastAsia="lt-LT"/>
        </w:rPr>
        <w:fldChar w:fldCharType="end"/>
      </w:r>
      <w:bookmarkStart w:id="29" w:name="pnfeb47910-3112-4cdb-b752-2d2f58d16aeb"/>
      <w:bookmarkEnd w:id="28"/>
      <w:bookmarkEnd w:id="29"/>
      <w:r w:rsidRPr="00252AC9">
        <w:rPr>
          <w:rFonts w:asciiTheme="majorBidi" w:eastAsia="Times New Roman" w:hAnsiTheme="majorBidi" w:cstheme="majorBidi"/>
          <w:color w:val="000000"/>
          <w:sz w:val="24"/>
          <w:szCs w:val="24"/>
          <w:lang w:eastAsia="lt-LT"/>
        </w:rPr>
        <w:t xml:space="preserve"> straipsnio nuostata yra imperatyvioji bankroto procedūroms, kurios tikslas – užbaigti likviduojamo juridinio asmens turto administravimą ir pašalinti kliūtis juridinio asmens pabaigai. </w:t>
      </w:r>
      <w:bookmarkStart w:id="30" w:name="n5e7e1126-855f-442d-9e19-4f532c866189"/>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"https://www.infolex.lt/ta/18140" \o "Lietuvos Respublikos civilinis kodeksas. Ketvirtoji knyga. Daiktinė teisė"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CK</w:t>
      </w:r>
      <w:r w:rsidRPr="00252AC9">
        <w:rPr>
          <w:rFonts w:asciiTheme="majorBidi" w:eastAsia="Times New Roman" w:hAnsiTheme="majorBidi" w:cstheme="majorBidi"/>
          <w:color w:val="000000"/>
          <w:sz w:val="24"/>
          <w:szCs w:val="24"/>
          <w:lang w:eastAsia="lt-LT"/>
        </w:rPr>
        <w:fldChar w:fldCharType="end"/>
      </w:r>
      <w:bookmarkStart w:id="31" w:name="pn5e7e1126-855f-442d-9e19-4f532c866189"/>
      <w:bookmarkEnd w:id="30"/>
      <w:bookmarkEnd w:id="31"/>
      <w:r w:rsidRPr="00252AC9">
        <w:rPr>
          <w:rFonts w:asciiTheme="majorBidi" w:eastAsia="Times New Roman" w:hAnsiTheme="majorBidi" w:cstheme="majorBidi"/>
          <w:color w:val="000000"/>
          <w:sz w:val="24"/>
          <w:szCs w:val="24"/>
          <w:lang w:eastAsia="lt-LT"/>
        </w:rPr>
        <w:t xml:space="preserve"> </w:t>
      </w:r>
      <w:bookmarkStart w:id="32" w:name="n0e9e9356-bc79-43f8-b10e-318f679226f0"/>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"Statybos, pažeidžiančios teisės aktų reikalavimus, civilinės teisinės pasekmės"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4.103</w:t>
      </w:r>
      <w:r w:rsidRPr="00252AC9">
        <w:rPr>
          <w:rFonts w:asciiTheme="majorBidi" w:eastAsia="Times New Roman" w:hAnsiTheme="majorBidi" w:cstheme="majorBidi"/>
          <w:color w:val="000000"/>
          <w:sz w:val="24"/>
          <w:szCs w:val="24"/>
          <w:lang w:eastAsia="lt-LT"/>
        </w:rPr>
        <w:fldChar w:fldCharType="end"/>
      </w:r>
      <w:bookmarkStart w:id="33" w:name="pn0e9e9356-bc79-43f8-b10e-318f679226f0"/>
      <w:bookmarkEnd w:id="32"/>
      <w:bookmarkEnd w:id="33"/>
      <w:r w:rsidRPr="00252AC9">
        <w:rPr>
          <w:rFonts w:asciiTheme="majorBidi" w:eastAsia="Times New Roman" w:hAnsiTheme="majorBidi" w:cstheme="majorBidi"/>
          <w:color w:val="000000"/>
          <w:sz w:val="24"/>
          <w:szCs w:val="24"/>
          <w:lang w:eastAsia="lt-LT"/>
        </w:rPr>
        <w:t xml:space="preserve"> straipsnio taikymas pats savaime nepaneigia </w:t>
      </w:r>
      <w:bookmarkStart w:id="34" w:name="n88a4e936-7519-45c4-8fef-0865d23e3dab"/>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35" w:name="pn88a4e936-7519-45c4-8fef-0865d23e3dab"/>
      <w:bookmarkEnd w:id="34"/>
      <w:bookmarkEnd w:id="35"/>
      <w:r w:rsidRPr="00252AC9">
        <w:rPr>
          <w:rFonts w:asciiTheme="majorBidi" w:eastAsia="Times New Roman" w:hAnsiTheme="majorBidi" w:cstheme="majorBidi"/>
          <w:color w:val="000000"/>
          <w:sz w:val="24"/>
          <w:szCs w:val="24"/>
          <w:lang w:eastAsia="lt-LT"/>
        </w:rPr>
        <w:t xml:space="preserve"> </w:t>
      </w:r>
      <w:bookmarkStart w:id="36" w:name="n1eed6955-6396-4a1f-9439-3a00c1720675"/>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"Neparduoto turto nurašymas"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92</w:t>
      </w:r>
      <w:r w:rsidRPr="00252AC9">
        <w:rPr>
          <w:rFonts w:asciiTheme="majorBidi" w:eastAsia="Times New Roman" w:hAnsiTheme="majorBidi" w:cstheme="majorBidi"/>
          <w:color w:val="000000"/>
          <w:sz w:val="24"/>
          <w:szCs w:val="24"/>
          <w:lang w:eastAsia="lt-LT"/>
        </w:rPr>
        <w:fldChar w:fldCharType="end"/>
      </w:r>
      <w:bookmarkStart w:id="37" w:name="pn1eed6955-6396-4a1f-9439-3a00c1720675"/>
      <w:bookmarkEnd w:id="36"/>
      <w:bookmarkEnd w:id="37"/>
      <w:r w:rsidRPr="00252AC9">
        <w:rPr>
          <w:rFonts w:asciiTheme="majorBidi" w:eastAsia="Times New Roman" w:hAnsiTheme="majorBidi" w:cstheme="majorBidi"/>
          <w:color w:val="000000"/>
          <w:sz w:val="24"/>
          <w:szCs w:val="24"/>
          <w:lang w:eastAsia="lt-LT"/>
        </w:rPr>
        <w:t xml:space="preserve"> straipsnio nuostatų imperatyvaus pobūdžio. Apeliacinės instancijos teismas pažymi, kad </w:t>
      </w:r>
      <w:bookmarkStart w:id="38" w:name="nc5e418d3-a8b2-4916-8ae4-a29b31e95577"/>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39" w:name="pnc5e418d3-a8b2-4916-8ae4-a29b31e95577"/>
      <w:bookmarkEnd w:id="38"/>
      <w:bookmarkEnd w:id="39"/>
      <w:r w:rsidRPr="00252AC9">
        <w:rPr>
          <w:rFonts w:asciiTheme="majorBidi" w:eastAsia="Times New Roman" w:hAnsiTheme="majorBidi" w:cstheme="majorBidi"/>
          <w:color w:val="000000"/>
          <w:sz w:val="24"/>
          <w:szCs w:val="24"/>
          <w:lang w:eastAsia="lt-LT"/>
        </w:rPr>
        <w:t xml:space="preserve"> </w:t>
      </w:r>
      <w:bookmarkStart w:id="40" w:name="n3941d80d-cb71-488f-a3ae-11ee9d4d93c4"/>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"Neparduoto turto nurašymas"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92</w:t>
      </w:r>
      <w:r w:rsidRPr="00252AC9">
        <w:rPr>
          <w:rFonts w:asciiTheme="majorBidi" w:eastAsia="Times New Roman" w:hAnsiTheme="majorBidi" w:cstheme="majorBidi"/>
          <w:color w:val="000000"/>
          <w:sz w:val="24"/>
          <w:szCs w:val="24"/>
          <w:lang w:eastAsia="lt-LT"/>
        </w:rPr>
        <w:fldChar w:fldCharType="end"/>
      </w:r>
      <w:bookmarkStart w:id="41" w:name="pn3941d80d-cb71-488f-a3ae-11ee9d4d93c4"/>
      <w:bookmarkEnd w:id="40"/>
      <w:bookmarkEnd w:id="41"/>
      <w:r w:rsidRPr="00252AC9">
        <w:rPr>
          <w:rFonts w:asciiTheme="majorBidi" w:eastAsia="Times New Roman" w:hAnsiTheme="majorBidi" w:cstheme="majorBidi"/>
          <w:color w:val="000000"/>
          <w:sz w:val="24"/>
          <w:szCs w:val="24"/>
          <w:lang w:eastAsia="lt-LT"/>
        </w:rPr>
        <w:t xml:space="preserve"> straipsnio 1 dalis numato, jog yra nurašomas „neparduotas“ (taigi, esantis civilinėje apyvartoje) nekilnojamasis turtas, o ne „nerealizuotinas“ (kurį draudžiama parduoti). Kitaip sakant, </w:t>
      </w:r>
      <w:bookmarkStart w:id="42" w:name="n3bc60f5e-ebdf-492c-8787-e4334c30a154"/>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43" w:name="pn3bc60f5e-ebdf-492c-8787-e4334c30a154"/>
      <w:bookmarkEnd w:id="42"/>
      <w:bookmarkEnd w:id="43"/>
      <w:r w:rsidRPr="00252AC9">
        <w:rPr>
          <w:rFonts w:asciiTheme="majorBidi" w:eastAsia="Times New Roman" w:hAnsiTheme="majorBidi" w:cstheme="majorBidi"/>
          <w:color w:val="000000"/>
          <w:sz w:val="24"/>
          <w:szCs w:val="24"/>
          <w:lang w:eastAsia="lt-LT"/>
        </w:rPr>
        <w:t xml:space="preserve"> </w:t>
      </w:r>
      <w:bookmarkStart w:id="44" w:name="n6457b1d6-875f-43bb-aa30-255a7a93f7c8"/>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"Neparduoto turto nurašymas"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92</w:t>
      </w:r>
      <w:r w:rsidRPr="00252AC9">
        <w:rPr>
          <w:rFonts w:asciiTheme="majorBidi" w:eastAsia="Times New Roman" w:hAnsiTheme="majorBidi" w:cstheme="majorBidi"/>
          <w:color w:val="000000"/>
          <w:sz w:val="24"/>
          <w:szCs w:val="24"/>
          <w:lang w:eastAsia="lt-LT"/>
        </w:rPr>
        <w:fldChar w:fldCharType="end"/>
      </w:r>
      <w:bookmarkStart w:id="45" w:name="pn6457b1d6-875f-43bb-aa30-255a7a93f7c8"/>
      <w:bookmarkEnd w:id="44"/>
      <w:bookmarkEnd w:id="45"/>
      <w:r w:rsidRPr="00252AC9">
        <w:rPr>
          <w:rFonts w:asciiTheme="majorBidi" w:eastAsia="Times New Roman" w:hAnsiTheme="majorBidi" w:cstheme="majorBidi"/>
          <w:color w:val="000000"/>
          <w:sz w:val="24"/>
          <w:szCs w:val="24"/>
          <w:lang w:eastAsia="lt-LT"/>
        </w:rPr>
        <w:t xml:space="preserve"> straipsnio 1 dalis kalba apie likviduojamo dėl bankroto juridinio asmens turtą, kurio nuosavybės teisėmis gali būti disponuojama. Sistemiškai aiškinant minėtas teisės nuostatas, konstatuojama, kad nuosavybės teisė į savavališką statybą neatsiranda. Nagrinėjamu atveju apeliantė neteisingai aiškina </w:t>
      </w:r>
      <w:bookmarkStart w:id="46" w:name="nfbfe5520-79b2-434e-a3d0-970efc38c7c6"/>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47" w:name="pnfbfe5520-79b2-434e-a3d0-970efc38c7c6"/>
      <w:bookmarkEnd w:id="46"/>
      <w:bookmarkEnd w:id="47"/>
      <w:r w:rsidRPr="00252AC9">
        <w:rPr>
          <w:rFonts w:asciiTheme="majorBidi" w:eastAsia="Times New Roman" w:hAnsiTheme="majorBidi" w:cstheme="majorBidi"/>
          <w:color w:val="000000"/>
          <w:sz w:val="24"/>
          <w:szCs w:val="24"/>
          <w:lang w:eastAsia="lt-LT"/>
        </w:rPr>
        <w:t xml:space="preserve"> </w:t>
      </w:r>
      <w:bookmarkStart w:id="48" w:name="nbf82a2ca-fd0a-445e-8510-e38f37770907"/>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"Neparduoto turto nurašymas"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92</w:t>
      </w:r>
      <w:r w:rsidRPr="00252AC9">
        <w:rPr>
          <w:rFonts w:asciiTheme="majorBidi" w:eastAsia="Times New Roman" w:hAnsiTheme="majorBidi" w:cstheme="majorBidi"/>
          <w:color w:val="000000"/>
          <w:sz w:val="24"/>
          <w:szCs w:val="24"/>
          <w:lang w:eastAsia="lt-LT"/>
        </w:rPr>
        <w:fldChar w:fldCharType="end"/>
      </w:r>
      <w:bookmarkStart w:id="49" w:name="pnbf82a2ca-fd0a-445e-8510-e38f37770907"/>
      <w:bookmarkEnd w:id="48"/>
      <w:bookmarkEnd w:id="49"/>
      <w:r w:rsidRPr="00252AC9">
        <w:rPr>
          <w:rFonts w:asciiTheme="majorBidi" w:eastAsia="Times New Roman" w:hAnsiTheme="majorBidi" w:cstheme="majorBidi"/>
          <w:color w:val="000000"/>
          <w:sz w:val="24"/>
          <w:szCs w:val="24"/>
          <w:lang w:eastAsia="lt-LT"/>
        </w:rPr>
        <w:t xml:space="preserve"> straipsnio 1 dalį, nes neteisėtos statybos padarinių šalinimo </w:t>
      </w:r>
      <w:bookmarkStart w:id="50" w:name="nc1fc3937-96ba-42e6-b05c-5f5171b5502c"/>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51" w:name="pnc1fc3937-96ba-42e6-b05c-5f5171b5502c"/>
      <w:bookmarkEnd w:id="50"/>
      <w:bookmarkEnd w:id="51"/>
      <w:r w:rsidRPr="00252AC9">
        <w:rPr>
          <w:rFonts w:asciiTheme="majorBidi" w:eastAsia="Times New Roman" w:hAnsiTheme="majorBidi" w:cstheme="majorBidi"/>
          <w:color w:val="000000"/>
          <w:sz w:val="24"/>
          <w:szCs w:val="24"/>
          <w:lang w:eastAsia="lt-LT"/>
        </w:rPr>
        <w:t xml:space="preserve"> nereglamentuoja. Be to, kaip minėta, neteisėtos statybos padarinių klausimas jau yra išspręstas Vilniaus miesto apylinkės teismo 2022 m. gruodžio 9 d. nutartimi civilinėje byloje Nr. </w:t>
      </w:r>
      <w:bookmarkStart w:id="52" w:name="n1ead4787-bf8b-4c3d-8bc8-7a3404201138"/>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"https://www.infolex.lt/tp/2134444" \o "2VP-26805-466/2022 Dėl sprendime nurodytų pasekmių taikymo"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2VP-26805-466/2022</w:t>
      </w:r>
      <w:r w:rsidRPr="00252AC9">
        <w:rPr>
          <w:rFonts w:asciiTheme="majorBidi" w:eastAsia="Times New Roman" w:hAnsiTheme="majorBidi" w:cstheme="majorBidi"/>
          <w:color w:val="000000"/>
          <w:sz w:val="24"/>
          <w:szCs w:val="24"/>
          <w:lang w:eastAsia="lt-LT"/>
        </w:rPr>
        <w:fldChar w:fldCharType="end"/>
      </w:r>
      <w:bookmarkStart w:id="53" w:name="pn1ead4787-bf8b-4c3d-8bc8-7a3404201138"/>
      <w:bookmarkEnd w:id="52"/>
      <w:bookmarkEnd w:id="53"/>
      <w:r w:rsidRPr="00252AC9">
        <w:rPr>
          <w:rFonts w:asciiTheme="majorBidi" w:eastAsia="Times New Roman" w:hAnsiTheme="majorBidi" w:cstheme="majorBidi"/>
          <w:color w:val="000000"/>
          <w:sz w:val="24"/>
          <w:szCs w:val="24"/>
          <w:lang w:eastAsia="lt-LT"/>
        </w:rPr>
        <w:t xml:space="preserve">, kurioje suteikta teisė statybos inspekcijai nugriauti ginčo pastatą. Apeliacinės instancijos teismas konstatuoja, kad 2026 m. gegužės 5 d. kreditorių susirinkimo sprendimas pirmuoju darbotvarkės klausimu dėl savavališkos statybos pastato nurašymo prieštarauja imperatyviosioms </w:t>
      </w:r>
      <w:bookmarkStart w:id="54" w:name="n23845609-3868-4ce9-a234-cdbd3bd23594"/>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"https://www.infolex.lt/ta/18140" \o "Lietuvos Respublikos civilinis kodeksas. Ketvirtoji knyga. Daiktinė teisė"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CK</w:t>
      </w:r>
      <w:r w:rsidRPr="00252AC9">
        <w:rPr>
          <w:rFonts w:asciiTheme="majorBidi" w:eastAsia="Times New Roman" w:hAnsiTheme="majorBidi" w:cstheme="majorBidi"/>
          <w:color w:val="000000"/>
          <w:sz w:val="24"/>
          <w:szCs w:val="24"/>
          <w:lang w:eastAsia="lt-LT"/>
        </w:rPr>
        <w:fldChar w:fldCharType="end"/>
      </w:r>
      <w:bookmarkStart w:id="55" w:name="pn23845609-3868-4ce9-a234-cdbd3bd23594"/>
      <w:bookmarkEnd w:id="54"/>
      <w:bookmarkEnd w:id="55"/>
      <w:r w:rsidRPr="00252AC9">
        <w:rPr>
          <w:rFonts w:asciiTheme="majorBidi" w:eastAsia="Times New Roman" w:hAnsiTheme="majorBidi" w:cstheme="majorBidi"/>
          <w:color w:val="000000"/>
          <w:sz w:val="24"/>
          <w:szCs w:val="24"/>
          <w:lang w:eastAsia="lt-LT"/>
        </w:rPr>
        <w:t xml:space="preserve"> </w:t>
      </w:r>
      <w:bookmarkStart w:id="56" w:name="nfda7e0ce-e94f-4eac-9d7c-2b3736bfda96"/>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"Statybos, pažeidžiančios teisės aktų reikalavimus, civilinės teisinės pasekmės"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4.103</w:t>
      </w:r>
      <w:r w:rsidRPr="00252AC9">
        <w:rPr>
          <w:rFonts w:asciiTheme="majorBidi" w:eastAsia="Times New Roman" w:hAnsiTheme="majorBidi" w:cstheme="majorBidi"/>
          <w:color w:val="000000"/>
          <w:sz w:val="24"/>
          <w:szCs w:val="24"/>
          <w:lang w:eastAsia="lt-LT"/>
        </w:rPr>
        <w:fldChar w:fldCharType="end"/>
      </w:r>
      <w:bookmarkStart w:id="57" w:name="pnfda7e0ce-e94f-4eac-9d7c-2b3736bfda96"/>
      <w:bookmarkEnd w:id="56"/>
      <w:bookmarkEnd w:id="57"/>
      <w:r w:rsidRPr="00252AC9">
        <w:rPr>
          <w:rFonts w:asciiTheme="majorBidi" w:eastAsia="Times New Roman" w:hAnsiTheme="majorBidi" w:cstheme="majorBidi"/>
          <w:color w:val="000000"/>
          <w:sz w:val="24"/>
          <w:szCs w:val="24"/>
          <w:lang w:eastAsia="lt-LT"/>
        </w:rPr>
        <w:t xml:space="preserve"> straipsnio 1 dalies ir </w:t>
      </w:r>
      <w:bookmarkStart w:id="58" w:name="n1e5356ad-24ab-4fe5-8202-88fc20a89781"/>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"https://www.infolex.lt/ta/541479" \o "Lietuvos Respublikos juridinių asmenų nemokumo įstatymas"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JANĮ</w:t>
      </w:r>
      <w:r w:rsidRPr="00252AC9">
        <w:rPr>
          <w:rFonts w:asciiTheme="majorBidi" w:eastAsia="Times New Roman" w:hAnsiTheme="majorBidi" w:cstheme="majorBidi"/>
          <w:color w:val="000000"/>
          <w:sz w:val="24"/>
          <w:szCs w:val="24"/>
          <w:lang w:eastAsia="lt-LT"/>
        </w:rPr>
        <w:fldChar w:fldCharType="end"/>
      </w:r>
      <w:bookmarkStart w:id="59" w:name="pn1e5356ad-24ab-4fe5-8202-88fc20a89781"/>
      <w:bookmarkEnd w:id="58"/>
      <w:bookmarkEnd w:id="59"/>
      <w:r w:rsidRPr="00252AC9">
        <w:rPr>
          <w:rFonts w:asciiTheme="majorBidi" w:eastAsia="Times New Roman" w:hAnsiTheme="majorBidi" w:cstheme="majorBidi"/>
          <w:color w:val="000000"/>
          <w:sz w:val="24"/>
          <w:szCs w:val="24"/>
          <w:lang w:eastAsia="lt-LT"/>
        </w:rPr>
        <w:t xml:space="preserve"> </w:t>
      </w:r>
      <w:bookmarkStart w:id="60" w:name="n0bbc436a-f94e-4468-8f3a-730d93b0f57e"/>
      <w:r w:rsidRPr="00252AC9">
        <w:rPr>
          <w:rFonts w:asciiTheme="majorBidi" w:eastAsia="Times New Roman" w:hAnsiTheme="majorBidi" w:cstheme="majorBidi"/>
          <w:color w:val="000000"/>
          <w:sz w:val="24"/>
          <w:szCs w:val="24"/>
          <w:lang w:eastAsia="lt-LT"/>
        </w:rPr>
        <w:fldChar w:fldCharType="begin"/>
      </w:r>
      <w:r w:rsidRPr="00252AC9">
        <w:rPr>
          <w:rFonts w:asciiTheme="majorBidi" w:eastAsia="Times New Roman" w:hAnsiTheme="majorBidi" w:cstheme="majorBidi"/>
          <w:color w:val="000000"/>
          <w:sz w:val="24"/>
          <w:szCs w:val="24"/>
          <w:lang w:eastAsia="lt-LT"/>
        </w:rPr>
        <w:instrText>HYPERLINK "https://www.infolex.lt/tp/2429978" \o "Neparduoto turto nurašymas" \t "_blank"</w:instrText>
      </w:r>
      <w:r w:rsidRPr="00252AC9">
        <w:rPr>
          <w:rFonts w:asciiTheme="majorBidi" w:eastAsia="Times New Roman" w:hAnsiTheme="majorBidi" w:cstheme="majorBidi"/>
          <w:color w:val="000000"/>
          <w:sz w:val="24"/>
          <w:szCs w:val="24"/>
          <w:lang w:eastAsia="lt-LT"/>
        </w:rPr>
      </w:r>
      <w:r w:rsidRPr="00252AC9">
        <w:rPr>
          <w:rFonts w:asciiTheme="majorBidi" w:eastAsia="Times New Roman" w:hAnsiTheme="majorBidi" w:cstheme="majorBidi"/>
          <w:color w:val="000000"/>
          <w:sz w:val="24"/>
          <w:szCs w:val="24"/>
          <w:lang w:eastAsia="lt-LT"/>
        </w:rPr>
        <w:fldChar w:fldCharType="separate"/>
      </w:r>
      <w:r w:rsidRPr="00252AC9">
        <w:rPr>
          <w:rFonts w:asciiTheme="majorBidi" w:eastAsia="Times New Roman" w:hAnsiTheme="majorBidi" w:cstheme="majorBidi"/>
          <w:color w:val="000000"/>
          <w:sz w:val="24"/>
          <w:szCs w:val="24"/>
          <w:lang w:eastAsia="lt-LT"/>
        </w:rPr>
        <w:t>92</w:t>
      </w:r>
      <w:r w:rsidRPr="00252AC9">
        <w:rPr>
          <w:rFonts w:asciiTheme="majorBidi" w:eastAsia="Times New Roman" w:hAnsiTheme="majorBidi" w:cstheme="majorBidi"/>
          <w:color w:val="000000"/>
          <w:sz w:val="24"/>
          <w:szCs w:val="24"/>
          <w:lang w:eastAsia="lt-LT"/>
        </w:rPr>
        <w:fldChar w:fldCharType="end"/>
      </w:r>
      <w:bookmarkStart w:id="61" w:name="pn0bbc436a-f94e-4468-8f3a-730d93b0f57e"/>
      <w:bookmarkEnd w:id="60"/>
      <w:bookmarkEnd w:id="61"/>
      <w:r w:rsidRPr="00252AC9">
        <w:rPr>
          <w:rFonts w:asciiTheme="majorBidi" w:eastAsia="Times New Roman" w:hAnsiTheme="majorBidi" w:cstheme="majorBidi"/>
          <w:color w:val="000000"/>
          <w:sz w:val="24"/>
          <w:szCs w:val="24"/>
          <w:lang w:eastAsia="lt-LT"/>
        </w:rPr>
        <w:t xml:space="preserve"> straipsnio normoms, todėl pagrįstai buvo pripažintas negaliojančiu. Nurašymo aktas pats savaime nėra teisinius padarinius sukeliantis dokumentas, nes jame yra </w:t>
      </w:r>
      <w:r w:rsidRPr="00252AC9">
        <w:rPr>
          <w:rFonts w:asciiTheme="majorBidi" w:eastAsia="Times New Roman" w:hAnsiTheme="majorBidi" w:cstheme="majorBidi"/>
          <w:color w:val="000000"/>
          <w:sz w:val="24"/>
          <w:szCs w:val="24"/>
          <w:lang w:eastAsia="lt-LT"/>
        </w:rPr>
        <w:lastRenderedPageBreak/>
        <w:t xml:space="preserve">tik surašomi turto nurašymo duomenys ir įforminamas kreditorių susirinkime nurodytas sprendimas, reikalavimas jį panaikinti negali būti savarankiško nagrinėjimo dalyku. Panaikinus kreditorių susirinkimo sprendimą, savaime netenka galios ir turto nurašymo aktas, kuriuo fiksuojamas (įforminamas) turto nurašymas. </w:t>
      </w:r>
    </w:p>
    <w:p w14:paraId="4DBF2E8E"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p>
    <w:p w14:paraId="3A69C9F1"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rugpjūčio 27 d. nutartis, priimta civilinėje byloje Nr. </w:t>
      </w:r>
      <w:r w:rsidRPr="00252AC9">
        <w:rPr>
          <w:rFonts w:asciiTheme="majorBidi" w:hAnsiTheme="majorBidi" w:cstheme="majorBidi"/>
          <w:i/>
          <w:iCs/>
          <w:color w:val="000000"/>
          <w:sz w:val="24"/>
          <w:szCs w:val="24"/>
          <w:shd w:val="clear" w:color="auto" w:fill="FFFFFF"/>
        </w:rPr>
        <w:t>e2-767-567/2026</w:t>
      </w:r>
    </w:p>
    <w:p w14:paraId="0774E504" w14:textId="77777777" w:rsidR="00CC7FF2" w:rsidRPr="00252AC9" w:rsidRDefault="00CC7FF2" w:rsidP="0051034C">
      <w:pPr>
        <w:pStyle w:val="ListParagraph"/>
        <w:tabs>
          <w:tab w:val="left" w:pos="993"/>
        </w:tabs>
        <w:spacing w:after="0" w:line="240" w:lineRule="auto"/>
        <w:ind w:left="0"/>
        <w:jc w:val="both"/>
        <w:rPr>
          <w:rFonts w:asciiTheme="majorBidi" w:hAnsiTheme="majorBidi" w:cstheme="majorBidi"/>
          <w:sz w:val="24"/>
          <w:szCs w:val="24"/>
        </w:rPr>
      </w:pPr>
    </w:p>
    <w:p w14:paraId="2A82825A" w14:textId="72667D4F" w:rsidR="00CC7FF2" w:rsidRPr="00262F06" w:rsidRDefault="00CC7FF2" w:rsidP="00895B26">
      <w:pPr>
        <w:pStyle w:val="ListParagraph"/>
        <w:numPr>
          <w:ilvl w:val="0"/>
          <w:numId w:val="27"/>
        </w:numPr>
        <w:spacing w:after="0" w:line="240" w:lineRule="auto"/>
        <w:ind w:left="1134" w:hanging="141"/>
        <w:jc w:val="both"/>
        <w:rPr>
          <w:rFonts w:asciiTheme="majorBidi" w:hAnsiTheme="majorBidi" w:cstheme="majorBidi"/>
          <w:color w:val="2E74B5" w:themeColor="accent1" w:themeShade="BF"/>
          <w:sz w:val="24"/>
          <w:szCs w:val="24"/>
          <w:shd w:val="clear" w:color="auto" w:fill="FFFFFF"/>
        </w:rPr>
      </w:pPr>
      <w:r w:rsidRPr="00262F06">
        <w:rPr>
          <w:rFonts w:asciiTheme="majorBidi" w:hAnsiTheme="majorBidi" w:cstheme="majorBidi"/>
          <w:color w:val="2E74B5" w:themeColor="accent1" w:themeShade="BF"/>
          <w:sz w:val="24"/>
          <w:szCs w:val="24"/>
          <w:shd w:val="clear" w:color="auto" w:fill="FFFFFF"/>
        </w:rPr>
        <w:t>Dėl finansinio reikalavimo tenkinimo eiliškumo</w:t>
      </w:r>
    </w:p>
    <w:p w14:paraId="6BCF7D80" w14:textId="77777777" w:rsidR="00CC7FF2" w:rsidRPr="00252AC9" w:rsidRDefault="00CC7FF2" w:rsidP="000E2954">
      <w:pPr>
        <w:pStyle w:val="ListParagraph"/>
        <w:spacing w:after="0" w:line="240" w:lineRule="auto"/>
        <w:ind w:left="993"/>
        <w:jc w:val="both"/>
        <w:rPr>
          <w:rFonts w:asciiTheme="majorBidi" w:hAnsiTheme="majorBidi" w:cstheme="majorBidi"/>
          <w:sz w:val="24"/>
          <w:szCs w:val="24"/>
        </w:rPr>
      </w:pPr>
    </w:p>
    <w:p w14:paraId="120E8A4B" w14:textId="1C56D819" w:rsidR="00CC7FF2" w:rsidRPr="00252AC9" w:rsidRDefault="000E2954" w:rsidP="00895B26">
      <w:pPr>
        <w:pStyle w:val="ListParagraph"/>
        <w:tabs>
          <w:tab w:val="left" w:pos="993"/>
        </w:tabs>
        <w:spacing w:after="0" w:line="240" w:lineRule="auto"/>
        <w:ind w:left="0"/>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          </w:t>
      </w:r>
      <w:r w:rsidR="00CE1161">
        <w:rPr>
          <w:rFonts w:asciiTheme="majorBidi" w:hAnsiTheme="majorBidi" w:cstheme="majorBidi"/>
          <w:color w:val="000000"/>
          <w:sz w:val="24"/>
          <w:szCs w:val="24"/>
          <w:shd w:val="clear" w:color="auto" w:fill="FFFFFF"/>
        </w:rPr>
        <w:t xml:space="preserve">   </w:t>
      </w:r>
      <w:r w:rsidR="00895B26">
        <w:rPr>
          <w:rFonts w:asciiTheme="majorBidi" w:hAnsiTheme="majorBidi" w:cstheme="majorBidi"/>
          <w:color w:val="000000"/>
          <w:sz w:val="24"/>
          <w:szCs w:val="24"/>
          <w:shd w:val="clear" w:color="auto" w:fill="FFFFFF"/>
        </w:rPr>
        <w:t xml:space="preserve">   </w:t>
      </w:r>
      <w:r w:rsidR="00CC7FF2" w:rsidRPr="00252AC9">
        <w:rPr>
          <w:rFonts w:asciiTheme="majorBidi" w:hAnsiTheme="majorBidi" w:cstheme="majorBidi"/>
          <w:color w:val="000000"/>
          <w:sz w:val="24"/>
          <w:szCs w:val="24"/>
          <w:shd w:val="clear" w:color="auto" w:fill="FFFFFF"/>
        </w:rPr>
        <w:t>Teisėjų kolegija, įvertinusi pirmiau nurodytą teisinį reglamentavimą, teismų praktiką, daro išvadą, kad, pasikeitus nemokumo proceso formai iš restruktūrizavimo į bankrotą, reikalavimai, susiję su restruktūrizavimo administravimo išlaidų atlyginimu, turi būti įtraukti į antrąja eile tenkinamų finansinių reikalavimų sąrašą (</w:t>
      </w:r>
      <w:bookmarkStart w:id="62" w:name="ncfbf2dd2-922e-4ef6-ba76-853c81d1a489"/>
      <w:r w:rsidR="00CC7FF2" w:rsidRPr="00252AC9">
        <w:rPr>
          <w:rFonts w:asciiTheme="majorBidi" w:hAnsiTheme="majorBidi" w:cstheme="majorBidi"/>
          <w:sz w:val="24"/>
          <w:szCs w:val="24"/>
        </w:rPr>
        <w:fldChar w:fldCharType="begin"/>
      </w:r>
      <w:r w:rsidR="00CC7FF2" w:rsidRPr="00252AC9">
        <w:rPr>
          <w:rFonts w:asciiTheme="majorBidi" w:hAnsiTheme="majorBidi" w:cstheme="majorBidi"/>
          <w:sz w:val="24"/>
          <w:szCs w:val="24"/>
        </w:rPr>
        <w:instrText>HYPERLINK "https://www.infolex.lt/ta/541479" \o "Lietuvos Respublikos juridinių asmenų nemokumo įstatymas" \t "_blank"</w:instrText>
      </w:r>
      <w:r w:rsidR="00CC7FF2" w:rsidRPr="00252AC9">
        <w:rPr>
          <w:rFonts w:asciiTheme="majorBidi" w:hAnsiTheme="majorBidi" w:cstheme="majorBidi"/>
          <w:sz w:val="24"/>
          <w:szCs w:val="24"/>
        </w:rPr>
      </w:r>
      <w:r w:rsidR="00CC7FF2" w:rsidRPr="00252AC9">
        <w:rPr>
          <w:rFonts w:asciiTheme="majorBidi" w:hAnsiTheme="majorBidi" w:cstheme="majorBidi"/>
          <w:sz w:val="24"/>
          <w:szCs w:val="24"/>
        </w:rPr>
        <w:fldChar w:fldCharType="separate"/>
      </w:r>
      <w:r w:rsidR="00CC7FF2" w:rsidRPr="00252AC9">
        <w:rPr>
          <w:rFonts w:asciiTheme="majorBidi" w:hAnsiTheme="majorBidi" w:cstheme="majorBidi"/>
          <w:color w:val="000000"/>
          <w:sz w:val="24"/>
          <w:szCs w:val="24"/>
          <w:shd w:val="clear" w:color="auto" w:fill="FFFFFF"/>
        </w:rPr>
        <w:t>JANĮ</w:t>
      </w:r>
      <w:r w:rsidR="00CC7FF2" w:rsidRPr="00252AC9">
        <w:rPr>
          <w:rFonts w:asciiTheme="majorBidi" w:hAnsiTheme="majorBidi" w:cstheme="majorBidi"/>
          <w:sz w:val="24"/>
          <w:szCs w:val="24"/>
        </w:rPr>
        <w:fldChar w:fldCharType="end"/>
      </w:r>
      <w:bookmarkStart w:id="63" w:name="pncfbf2dd2-922e-4ef6-ba76-853c81d1a489"/>
      <w:bookmarkEnd w:id="62"/>
      <w:bookmarkEnd w:id="63"/>
      <w:r w:rsidR="00CC7FF2" w:rsidRPr="00252AC9">
        <w:rPr>
          <w:rFonts w:asciiTheme="majorBidi" w:hAnsiTheme="majorBidi" w:cstheme="majorBidi"/>
          <w:color w:val="000000"/>
          <w:sz w:val="24"/>
          <w:szCs w:val="24"/>
          <w:shd w:val="clear" w:color="auto" w:fill="FFFFFF"/>
        </w:rPr>
        <w:t xml:space="preserve"> </w:t>
      </w:r>
      <w:bookmarkStart w:id="64" w:name="n18a3d362-4ba4-4101-95fe-3ee55571095c"/>
      <w:r w:rsidR="00CC7FF2" w:rsidRPr="00252AC9">
        <w:rPr>
          <w:rFonts w:asciiTheme="majorBidi" w:hAnsiTheme="majorBidi" w:cstheme="majorBidi"/>
          <w:sz w:val="24"/>
          <w:szCs w:val="24"/>
        </w:rPr>
        <w:fldChar w:fldCharType="begin"/>
      </w:r>
      <w:r w:rsidR="00CC7FF2" w:rsidRPr="00252AC9">
        <w:rPr>
          <w:rFonts w:asciiTheme="majorBidi" w:hAnsiTheme="majorBidi" w:cstheme="majorBidi"/>
          <w:sz w:val="24"/>
          <w:szCs w:val="24"/>
        </w:rPr>
        <w:instrText>HYPERLINK "https://www.infolex.lt/tp/2428497" \o "Kreditorių reikalavimų tenkinimo eilė" \t "_blank"</w:instrText>
      </w:r>
      <w:r w:rsidR="00CC7FF2" w:rsidRPr="00252AC9">
        <w:rPr>
          <w:rFonts w:asciiTheme="majorBidi" w:hAnsiTheme="majorBidi" w:cstheme="majorBidi"/>
          <w:sz w:val="24"/>
          <w:szCs w:val="24"/>
        </w:rPr>
      </w:r>
      <w:r w:rsidR="00CC7FF2" w:rsidRPr="00252AC9">
        <w:rPr>
          <w:rFonts w:asciiTheme="majorBidi" w:hAnsiTheme="majorBidi" w:cstheme="majorBidi"/>
          <w:sz w:val="24"/>
          <w:szCs w:val="24"/>
        </w:rPr>
        <w:fldChar w:fldCharType="separate"/>
      </w:r>
      <w:r w:rsidR="00CC7FF2" w:rsidRPr="00252AC9">
        <w:rPr>
          <w:rFonts w:asciiTheme="majorBidi" w:hAnsiTheme="majorBidi" w:cstheme="majorBidi"/>
          <w:color w:val="000000"/>
          <w:sz w:val="24"/>
          <w:szCs w:val="24"/>
          <w:shd w:val="clear" w:color="auto" w:fill="FFFFFF"/>
        </w:rPr>
        <w:t>94</w:t>
      </w:r>
      <w:r w:rsidR="00CC7FF2" w:rsidRPr="00252AC9">
        <w:rPr>
          <w:rFonts w:asciiTheme="majorBidi" w:hAnsiTheme="majorBidi" w:cstheme="majorBidi"/>
          <w:sz w:val="24"/>
          <w:szCs w:val="24"/>
        </w:rPr>
        <w:fldChar w:fldCharType="end"/>
      </w:r>
      <w:bookmarkStart w:id="65" w:name="pn18a3d362-4ba4-4101-95fe-3ee55571095c"/>
      <w:bookmarkEnd w:id="64"/>
      <w:bookmarkEnd w:id="65"/>
      <w:r w:rsidR="00CC7FF2" w:rsidRPr="00252AC9">
        <w:rPr>
          <w:rFonts w:asciiTheme="majorBidi" w:hAnsiTheme="majorBidi" w:cstheme="majorBidi"/>
          <w:color w:val="000000"/>
          <w:sz w:val="24"/>
          <w:szCs w:val="24"/>
          <w:shd w:val="clear" w:color="auto" w:fill="FFFFFF"/>
        </w:rPr>
        <w:t xml:space="preserve"> straipsnio 2 dalies 2 punktas). </w:t>
      </w:r>
    </w:p>
    <w:p w14:paraId="52DC1D36"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p>
    <w:p w14:paraId="615982C6"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rugpjūčio 31 d. nutartis, priimta civilinėje byloje Nr. </w:t>
      </w:r>
      <w:r w:rsidRPr="00252AC9">
        <w:rPr>
          <w:rFonts w:asciiTheme="majorBidi" w:hAnsiTheme="majorBidi" w:cstheme="majorBidi"/>
          <w:i/>
          <w:iCs/>
          <w:color w:val="000000"/>
          <w:sz w:val="24"/>
          <w:szCs w:val="24"/>
          <w:shd w:val="clear" w:color="auto" w:fill="FFFFFF"/>
        </w:rPr>
        <w:t>e2-769-912/2026</w:t>
      </w:r>
    </w:p>
    <w:p w14:paraId="4B50FD9A" w14:textId="77777777" w:rsidR="00CC7FF2" w:rsidRPr="00262F06" w:rsidRDefault="00CC7FF2" w:rsidP="00252AC9">
      <w:pPr>
        <w:pStyle w:val="ListParagraph"/>
        <w:spacing w:after="0" w:line="240" w:lineRule="auto"/>
        <w:ind w:left="0"/>
        <w:jc w:val="both"/>
        <w:rPr>
          <w:rFonts w:asciiTheme="majorBidi" w:hAnsiTheme="majorBidi" w:cstheme="majorBidi"/>
          <w:color w:val="2E74B5" w:themeColor="accent1" w:themeShade="BF"/>
          <w:sz w:val="24"/>
          <w:szCs w:val="24"/>
        </w:rPr>
      </w:pPr>
    </w:p>
    <w:p w14:paraId="7D1DCE64" w14:textId="1EC108A8" w:rsidR="00CC7FF2" w:rsidRPr="00262F06" w:rsidRDefault="00CC7FF2" w:rsidP="0051034C">
      <w:pPr>
        <w:pStyle w:val="ListParagraph"/>
        <w:numPr>
          <w:ilvl w:val="0"/>
          <w:numId w:val="27"/>
        </w:numPr>
        <w:spacing w:after="0" w:line="240" w:lineRule="auto"/>
        <w:ind w:left="1134" w:hanging="141"/>
        <w:jc w:val="both"/>
        <w:rPr>
          <w:rFonts w:asciiTheme="majorBidi" w:hAnsiTheme="majorBidi" w:cstheme="majorBidi"/>
          <w:color w:val="2E74B5" w:themeColor="accent1" w:themeShade="BF"/>
          <w:sz w:val="24"/>
          <w:szCs w:val="24"/>
        </w:rPr>
      </w:pPr>
      <w:r w:rsidRPr="00262F06">
        <w:rPr>
          <w:rFonts w:asciiTheme="majorBidi" w:hAnsiTheme="majorBidi" w:cstheme="majorBidi"/>
          <w:color w:val="2E74B5" w:themeColor="accent1" w:themeShade="BF"/>
          <w:sz w:val="24"/>
          <w:szCs w:val="24"/>
          <w:shd w:val="clear" w:color="auto" w:fill="FFFFFF"/>
        </w:rPr>
        <w:t>Dėl pagrindo iškelti bankroto bylą</w:t>
      </w:r>
    </w:p>
    <w:p w14:paraId="7B83BD2C" w14:textId="77777777" w:rsidR="00CC7FF2" w:rsidRPr="00252AC9" w:rsidRDefault="00CC7FF2" w:rsidP="00252AC9">
      <w:pPr>
        <w:pStyle w:val="ListParagraph"/>
        <w:spacing w:after="0" w:line="240" w:lineRule="auto"/>
        <w:ind w:left="0"/>
        <w:jc w:val="both"/>
        <w:rPr>
          <w:rFonts w:asciiTheme="majorBidi" w:hAnsiTheme="majorBidi" w:cstheme="majorBidi"/>
          <w:sz w:val="24"/>
          <w:szCs w:val="24"/>
        </w:rPr>
      </w:pPr>
    </w:p>
    <w:p w14:paraId="07FD4217" w14:textId="1B51B2A8"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r w:rsidRPr="00252AC9">
        <w:rPr>
          <w:rFonts w:asciiTheme="majorBidi" w:hAnsiTheme="majorBidi" w:cstheme="majorBidi"/>
          <w:color w:val="000000"/>
          <w:sz w:val="24"/>
          <w:szCs w:val="24"/>
          <w:shd w:val="clear" w:color="auto" w:fill="FFFFFF"/>
        </w:rPr>
        <w:t xml:space="preserve">           </w:t>
      </w:r>
      <w:r w:rsidR="0051034C">
        <w:rPr>
          <w:rFonts w:asciiTheme="majorBidi" w:hAnsiTheme="majorBidi" w:cstheme="majorBidi"/>
          <w:color w:val="000000"/>
          <w:sz w:val="24"/>
          <w:szCs w:val="24"/>
          <w:shd w:val="clear" w:color="auto" w:fill="FFFFFF"/>
        </w:rPr>
        <w:t xml:space="preserve">    </w:t>
      </w:r>
      <w:r w:rsidRPr="00252AC9">
        <w:rPr>
          <w:rFonts w:asciiTheme="majorBidi" w:hAnsiTheme="majorBidi" w:cstheme="majorBidi"/>
          <w:color w:val="000000"/>
          <w:sz w:val="24"/>
          <w:szCs w:val="24"/>
          <w:shd w:val="clear" w:color="auto" w:fill="FFFFFF"/>
        </w:rPr>
        <w:t xml:space="preserve"> LAp</w:t>
      </w:r>
      <w:r w:rsidR="006C0E98">
        <w:rPr>
          <w:rFonts w:asciiTheme="majorBidi" w:hAnsiTheme="majorBidi" w:cstheme="majorBidi"/>
          <w:color w:val="000000"/>
          <w:sz w:val="24"/>
          <w:szCs w:val="24"/>
          <w:shd w:val="clear" w:color="auto" w:fill="FFFFFF"/>
        </w:rPr>
        <w:t>T</w:t>
      </w:r>
      <w:r w:rsidRPr="00252AC9">
        <w:rPr>
          <w:rFonts w:asciiTheme="majorBidi" w:hAnsiTheme="majorBidi" w:cstheme="majorBidi"/>
          <w:color w:val="000000"/>
          <w:sz w:val="24"/>
          <w:szCs w:val="24"/>
          <w:shd w:val="clear" w:color="auto" w:fill="FFFFFF"/>
        </w:rPr>
        <w:t xml:space="preserve"> pažymi, kad, nepriklausomai nuo to, ar apeliantės turimo turto vertė formaliai viršija turimas skolas (ką ji nesėkmingai įrodinėja), ši aplinkybė per se (pati savaime) nebūtų pagrindas spręsti, kad bendrovė yra moki ir jai negali būti keliama bankroto byla. </w:t>
      </w:r>
      <w:bookmarkStart w:id="66" w:name="n956f46b5-a446-4bee-8039-027b3a62a0c3"/>
      <w:r w:rsidRPr="00252AC9">
        <w:rPr>
          <w:rFonts w:asciiTheme="majorBidi" w:hAnsiTheme="majorBidi" w:cstheme="majorBidi"/>
          <w:sz w:val="24"/>
          <w:szCs w:val="24"/>
        </w:rPr>
        <w:fldChar w:fldCharType="begin"/>
      </w:r>
      <w:r w:rsidRPr="00252AC9">
        <w:rPr>
          <w:rFonts w:asciiTheme="majorBidi" w:hAnsiTheme="majorBidi" w:cstheme="majorBidi"/>
          <w:sz w:val="24"/>
          <w:szCs w:val="24"/>
        </w:rPr>
        <w:instrText>HYPERLINK "https://www.infolex.lt/ta/541479" \o "Lietuvos Respublikos juridinių asmenų nemokumo įstatymas" \t "_blank"</w:instrText>
      </w:r>
      <w:r w:rsidRPr="00252AC9">
        <w:rPr>
          <w:rFonts w:asciiTheme="majorBidi" w:hAnsiTheme="majorBidi" w:cstheme="majorBidi"/>
          <w:sz w:val="24"/>
          <w:szCs w:val="24"/>
        </w:rPr>
      </w:r>
      <w:r w:rsidRPr="00252AC9">
        <w:rPr>
          <w:rFonts w:asciiTheme="majorBidi" w:hAnsiTheme="majorBidi" w:cstheme="majorBidi"/>
          <w:sz w:val="24"/>
          <w:szCs w:val="24"/>
        </w:rPr>
        <w:fldChar w:fldCharType="separate"/>
      </w:r>
      <w:r w:rsidRPr="00252AC9">
        <w:rPr>
          <w:rStyle w:val="Hyperlink"/>
          <w:rFonts w:asciiTheme="majorBidi" w:hAnsiTheme="majorBidi" w:cstheme="majorBidi"/>
          <w:color w:val="000000"/>
          <w:sz w:val="24"/>
          <w:szCs w:val="24"/>
          <w:u w:val="none"/>
          <w:shd w:val="clear" w:color="auto" w:fill="FFFFFF"/>
        </w:rPr>
        <w:t>JANĮ</w:t>
      </w:r>
      <w:r w:rsidRPr="00252AC9">
        <w:rPr>
          <w:rFonts w:asciiTheme="majorBidi" w:hAnsiTheme="majorBidi" w:cstheme="majorBidi"/>
          <w:sz w:val="24"/>
          <w:szCs w:val="24"/>
        </w:rPr>
        <w:fldChar w:fldCharType="end"/>
      </w:r>
      <w:bookmarkStart w:id="67" w:name="pn956f46b5-a446-4bee-8039-027b3a62a0c3"/>
      <w:bookmarkEnd w:id="66"/>
      <w:bookmarkEnd w:id="67"/>
      <w:r w:rsidRPr="00252AC9">
        <w:rPr>
          <w:rFonts w:asciiTheme="majorBidi" w:hAnsiTheme="majorBidi" w:cstheme="majorBidi"/>
          <w:color w:val="000000"/>
          <w:sz w:val="24"/>
          <w:szCs w:val="24"/>
          <w:shd w:val="clear" w:color="auto" w:fill="FFFFFF"/>
        </w:rPr>
        <w:t xml:space="preserve"> </w:t>
      </w:r>
      <w:bookmarkStart w:id="68" w:name="nd5841c8b-0235-4f54-a2b4-d9de00459cef"/>
      <w:r w:rsidRPr="00252AC9">
        <w:rPr>
          <w:rFonts w:asciiTheme="majorBidi" w:hAnsiTheme="majorBidi" w:cstheme="majorBidi"/>
          <w:sz w:val="24"/>
          <w:szCs w:val="24"/>
        </w:rPr>
        <w:fldChar w:fldCharType="begin"/>
      </w:r>
      <w:r w:rsidRPr="00252AC9">
        <w:rPr>
          <w:rFonts w:asciiTheme="majorBidi" w:hAnsiTheme="majorBidi" w:cstheme="majorBidi"/>
          <w:sz w:val="24"/>
          <w:szCs w:val="24"/>
        </w:rPr>
        <w:instrText>HYPERLINK "https://www.infolex.lt/tp/2428723" \o "Pagrindinės šio įstatymo sąvokos" \t "_blank"</w:instrText>
      </w:r>
      <w:r w:rsidRPr="00252AC9">
        <w:rPr>
          <w:rFonts w:asciiTheme="majorBidi" w:hAnsiTheme="majorBidi" w:cstheme="majorBidi"/>
          <w:sz w:val="24"/>
          <w:szCs w:val="24"/>
        </w:rPr>
      </w:r>
      <w:r w:rsidRPr="00252AC9">
        <w:rPr>
          <w:rFonts w:asciiTheme="majorBidi" w:hAnsiTheme="majorBidi" w:cstheme="majorBidi"/>
          <w:sz w:val="24"/>
          <w:szCs w:val="24"/>
        </w:rPr>
        <w:fldChar w:fldCharType="separate"/>
      </w:r>
      <w:r w:rsidRPr="00252AC9">
        <w:rPr>
          <w:rStyle w:val="Hyperlink"/>
          <w:rFonts w:asciiTheme="majorBidi" w:hAnsiTheme="majorBidi" w:cstheme="majorBidi"/>
          <w:color w:val="000000"/>
          <w:sz w:val="24"/>
          <w:szCs w:val="24"/>
          <w:u w:val="none"/>
          <w:shd w:val="clear" w:color="auto" w:fill="FFFFFF"/>
        </w:rPr>
        <w:t>2</w:t>
      </w:r>
      <w:r w:rsidRPr="00252AC9">
        <w:rPr>
          <w:rFonts w:asciiTheme="majorBidi" w:hAnsiTheme="majorBidi" w:cstheme="majorBidi"/>
          <w:sz w:val="24"/>
          <w:szCs w:val="24"/>
        </w:rPr>
        <w:fldChar w:fldCharType="end"/>
      </w:r>
      <w:bookmarkStart w:id="69" w:name="pnd5841c8b-0235-4f54-a2b4-d9de00459cef"/>
      <w:bookmarkEnd w:id="68"/>
      <w:bookmarkEnd w:id="69"/>
      <w:r w:rsidRPr="00252AC9">
        <w:rPr>
          <w:rFonts w:asciiTheme="majorBidi" w:hAnsiTheme="majorBidi" w:cstheme="majorBidi"/>
          <w:color w:val="000000"/>
          <w:sz w:val="24"/>
          <w:szCs w:val="24"/>
          <w:shd w:val="clear" w:color="auto" w:fill="FFFFFF"/>
        </w:rPr>
        <w:t xml:space="preserve"> straipsnio 7 dalyje, apibrėžiančioje juridinio asmens nemokumą, yra įtvirtintos alternatyvios tą konstatuoti pagrindą sudarančios aplinkybės ir bendrovės nemokumas, kaip minėta, siejamas su dviem sąlygomis – negalėjimu laiku vykdyti turtinių prievolių (likvidumo testas) ir juridinio asmens įsipareigojimų viršijimu jo turimo turto vertei (balanso testas). Bendrovė galėtų būti pripažinta nemokia pradelstiems įsipareigojimams formaliai net ir neviršijant balansinės turto vertės, jeigu nustatoma, kad ji nesugeba bent iš dalies atsiskaityti su tais pačiais kreditoriais. Tai reiškia, kad nustačius bent vieną iš paminėtų alternatyvių sąlygų, bendrovei gali būti iškeliama nemokumo byla. Taigi, nėra pagrindo apie bendrovės mokumą spręsti įvertinus išskirtinai tik dviejų rodiklių – susidariusių skolų sumos ir į balansą įrašyto turto – santykį. Vertinant bendrovės mokumą, turi būti atsižvelgta ne tik į faktiškai bendrovės turimą turtą, bet ir galimybę išieškoti iš bendrovės skolas.</w:t>
      </w:r>
    </w:p>
    <w:p w14:paraId="19DD1EA3"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p>
    <w:p w14:paraId="52ED021E"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rugsėjo 10 d. nutartis, priimta civilinėje byloje Nr. </w:t>
      </w:r>
      <w:r w:rsidRPr="00252AC9">
        <w:rPr>
          <w:rFonts w:asciiTheme="majorBidi" w:hAnsiTheme="majorBidi" w:cstheme="majorBidi"/>
          <w:i/>
          <w:iCs/>
          <w:color w:val="000000"/>
          <w:sz w:val="24"/>
          <w:szCs w:val="24"/>
          <w:shd w:val="clear" w:color="auto" w:fill="FFFFFF"/>
        </w:rPr>
        <w:t>e2-889-1097/2026</w:t>
      </w:r>
    </w:p>
    <w:p w14:paraId="42E3BF6C" w14:textId="77777777" w:rsidR="004179C8" w:rsidRPr="00252AC9" w:rsidRDefault="004179C8" w:rsidP="00252AC9">
      <w:pPr>
        <w:spacing w:after="0" w:line="240" w:lineRule="auto"/>
        <w:jc w:val="both"/>
        <w:rPr>
          <w:rFonts w:asciiTheme="majorBidi" w:hAnsiTheme="majorBidi" w:cstheme="majorBidi"/>
          <w:color w:val="000000"/>
          <w:sz w:val="24"/>
          <w:szCs w:val="24"/>
          <w:shd w:val="clear" w:color="auto" w:fill="FFFFFF"/>
        </w:rPr>
      </w:pPr>
    </w:p>
    <w:p w14:paraId="63D4AAB1" w14:textId="7AE9F938" w:rsidR="00CC7FF2" w:rsidRDefault="00CC7FF2" w:rsidP="002D71FC">
      <w:pPr>
        <w:pStyle w:val="ListParagraph"/>
        <w:numPr>
          <w:ilvl w:val="0"/>
          <w:numId w:val="27"/>
        </w:numPr>
        <w:spacing w:after="0" w:line="240" w:lineRule="auto"/>
        <w:ind w:left="1134" w:hanging="141"/>
        <w:jc w:val="both"/>
        <w:rPr>
          <w:rFonts w:asciiTheme="majorBidi" w:hAnsiTheme="majorBidi" w:cstheme="majorBidi"/>
          <w:color w:val="2E74B5" w:themeColor="accent1" w:themeShade="BF"/>
          <w:sz w:val="24"/>
          <w:szCs w:val="24"/>
        </w:rPr>
      </w:pPr>
      <w:r w:rsidRPr="00262F06">
        <w:rPr>
          <w:rFonts w:asciiTheme="majorBidi" w:hAnsiTheme="majorBidi" w:cstheme="majorBidi"/>
          <w:color w:val="2E74B5" w:themeColor="accent1" w:themeShade="BF"/>
          <w:sz w:val="24"/>
          <w:szCs w:val="24"/>
        </w:rPr>
        <w:t>Dėl turto realizavimo būdo</w:t>
      </w:r>
    </w:p>
    <w:p w14:paraId="25A751D5" w14:textId="77777777" w:rsidR="002D71FC" w:rsidRPr="002D71FC" w:rsidRDefault="002D71FC" w:rsidP="002D71FC">
      <w:pPr>
        <w:pStyle w:val="ListParagraph"/>
        <w:spacing w:after="0" w:line="240" w:lineRule="auto"/>
        <w:ind w:left="1134"/>
        <w:jc w:val="both"/>
        <w:rPr>
          <w:rFonts w:asciiTheme="majorBidi" w:hAnsiTheme="majorBidi" w:cstheme="majorBidi"/>
          <w:color w:val="2E74B5" w:themeColor="accent1" w:themeShade="BF"/>
          <w:sz w:val="24"/>
          <w:szCs w:val="24"/>
        </w:rPr>
      </w:pPr>
    </w:p>
    <w:p w14:paraId="70A53193" w14:textId="1FBF098D" w:rsidR="00CC7FF2" w:rsidRPr="00252AC9" w:rsidRDefault="000E2954" w:rsidP="007A5B7C">
      <w:pPr>
        <w:pStyle w:val="ListParagraph"/>
        <w:tabs>
          <w:tab w:val="left" w:pos="993"/>
        </w:tabs>
        <w:spacing w:after="0" w:line="240" w:lineRule="auto"/>
        <w:ind w:left="0"/>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            </w:t>
      </w:r>
      <w:r w:rsidR="002D71FC">
        <w:rPr>
          <w:rFonts w:asciiTheme="majorBidi" w:hAnsiTheme="majorBidi" w:cstheme="majorBidi"/>
          <w:color w:val="000000"/>
          <w:sz w:val="24"/>
          <w:szCs w:val="24"/>
          <w:shd w:val="clear" w:color="auto" w:fill="FFFFFF"/>
        </w:rPr>
        <w:t xml:space="preserve">   </w:t>
      </w:r>
      <w:r>
        <w:rPr>
          <w:rFonts w:asciiTheme="majorBidi" w:hAnsiTheme="majorBidi" w:cstheme="majorBidi"/>
          <w:color w:val="000000"/>
          <w:sz w:val="24"/>
          <w:szCs w:val="24"/>
          <w:shd w:val="clear" w:color="auto" w:fill="FFFFFF"/>
        </w:rPr>
        <w:t xml:space="preserve"> </w:t>
      </w:r>
      <w:r w:rsidR="00CC7FF2" w:rsidRPr="00252AC9">
        <w:rPr>
          <w:rFonts w:asciiTheme="majorBidi" w:hAnsiTheme="majorBidi" w:cstheme="majorBidi"/>
          <w:color w:val="000000"/>
          <w:sz w:val="24"/>
          <w:szCs w:val="24"/>
          <w:shd w:val="clear" w:color="auto" w:fill="FFFFFF"/>
        </w:rPr>
        <w:t xml:space="preserve">Turtinio komplekso samprata iš esmės reiškia atskirų turto objektų (daiktų) suvienijimą, pateisinamą teisiniu ir (ar) faktiniu tikslu, kai tokia turto objektų visuma yra ekonomiškai vertingesnė už atskirus daiktus. Vadinasi, turto pardavimo atveju net ir atskiri savarankiški daiktai gali būti pripažįstami turtiniu kompleksu, jei tokių daiktų, juos parduodant, </w:t>
      </w:r>
      <w:r w:rsidR="00CC7FF2" w:rsidRPr="00252AC9">
        <w:rPr>
          <w:rFonts w:asciiTheme="majorBidi" w:hAnsiTheme="majorBidi" w:cstheme="majorBidi"/>
          <w:color w:val="000000"/>
          <w:sz w:val="24"/>
          <w:szCs w:val="24"/>
          <w:shd w:val="clear" w:color="auto" w:fill="FFFFFF"/>
        </w:rPr>
        <w:lastRenderedPageBreak/>
        <w:t>visuma turės didesnę ekonominę vertę. Kita vertus, pagal minėtą kasacinio teismo praktiką turtinio komplekso pripažinimą sudarančių aplinkybių nustatymas ir vertinimas yra fakto klausimas. Apeliacinės instancijos teismo vertinimu, atsižvelgiant į JANĮ 85 straipsnio 2 punkte nustatytą likviduojamo dėl bankroto juridinio asmens turto pardavimo didžiausios kainos principą, savaime joks turto pardavimo būdas (kompleksu ar pavieniui) negali būti laikomas prioritetiniu, jei jis neužtikrina vieno iš esminių bankroto instituto taikymo tikslų, t.</w:t>
      </w:r>
      <w:r w:rsidR="00F771C9">
        <w:rPr>
          <w:rFonts w:asciiTheme="majorBidi" w:hAnsiTheme="majorBidi" w:cstheme="majorBidi"/>
          <w:color w:val="000000"/>
          <w:sz w:val="24"/>
          <w:szCs w:val="24"/>
          <w:shd w:val="clear" w:color="auto" w:fill="FFFFFF"/>
        </w:rPr>
        <w:t> </w:t>
      </w:r>
      <w:r w:rsidR="00CC7FF2" w:rsidRPr="00252AC9">
        <w:rPr>
          <w:rFonts w:asciiTheme="majorBidi" w:hAnsiTheme="majorBidi" w:cstheme="majorBidi"/>
          <w:color w:val="000000"/>
          <w:sz w:val="24"/>
          <w:szCs w:val="24"/>
          <w:shd w:val="clear" w:color="auto" w:fill="FFFFFF"/>
        </w:rPr>
        <w:t>y. iš likviduojamo dėl bankroto juridinio asmens turto kuo operatyviau (</w:t>
      </w:r>
      <w:bookmarkStart w:id="70" w:name="n8dc20756-dddf-4e3d-8996-63f57b964b4d"/>
      <w:r w:rsidR="00CC7FF2" w:rsidRPr="00252AC9">
        <w:rPr>
          <w:rFonts w:asciiTheme="majorBidi" w:hAnsiTheme="majorBidi" w:cstheme="majorBidi"/>
          <w:sz w:val="24"/>
          <w:szCs w:val="24"/>
        </w:rPr>
        <w:fldChar w:fldCharType="begin"/>
      </w:r>
      <w:r w:rsidR="00CC7FF2" w:rsidRPr="00252AC9">
        <w:rPr>
          <w:rFonts w:asciiTheme="majorBidi" w:hAnsiTheme="majorBidi" w:cstheme="majorBidi"/>
          <w:sz w:val="24"/>
          <w:szCs w:val="24"/>
        </w:rPr>
        <w:instrText>HYPERLINK "https://www.infolex.lt/ta/541479" \o "Lietuvos Respublikos juridinių asmenų nemokumo įstatymas" \t "_blank"</w:instrText>
      </w:r>
      <w:r w:rsidR="00CC7FF2" w:rsidRPr="00252AC9">
        <w:rPr>
          <w:rFonts w:asciiTheme="majorBidi" w:hAnsiTheme="majorBidi" w:cstheme="majorBidi"/>
          <w:sz w:val="24"/>
          <w:szCs w:val="24"/>
        </w:rPr>
      </w:r>
      <w:r w:rsidR="00CC7FF2" w:rsidRPr="00252AC9">
        <w:rPr>
          <w:rFonts w:asciiTheme="majorBidi" w:hAnsiTheme="majorBidi" w:cstheme="majorBidi"/>
          <w:sz w:val="24"/>
          <w:szCs w:val="24"/>
        </w:rPr>
        <w:fldChar w:fldCharType="separate"/>
      </w:r>
      <w:r w:rsidR="00CC7FF2" w:rsidRPr="00252AC9">
        <w:rPr>
          <w:rStyle w:val="Hyperlink"/>
          <w:rFonts w:asciiTheme="majorBidi" w:hAnsiTheme="majorBidi" w:cstheme="majorBidi"/>
          <w:color w:val="000000"/>
          <w:sz w:val="24"/>
          <w:szCs w:val="24"/>
          <w:u w:val="none"/>
          <w:shd w:val="clear" w:color="auto" w:fill="FFFFFF"/>
        </w:rPr>
        <w:t>JANĮ</w:t>
      </w:r>
      <w:r w:rsidR="00CC7FF2" w:rsidRPr="00252AC9">
        <w:rPr>
          <w:rFonts w:asciiTheme="majorBidi" w:hAnsiTheme="majorBidi" w:cstheme="majorBidi"/>
          <w:sz w:val="24"/>
          <w:szCs w:val="24"/>
        </w:rPr>
        <w:fldChar w:fldCharType="end"/>
      </w:r>
      <w:bookmarkStart w:id="71" w:name="pn8dc20756-dddf-4e3d-8996-63f57b964b4d"/>
      <w:bookmarkEnd w:id="70"/>
      <w:bookmarkEnd w:id="71"/>
      <w:r w:rsidR="00CC7FF2" w:rsidRPr="00252AC9">
        <w:rPr>
          <w:rFonts w:asciiTheme="majorBidi" w:hAnsiTheme="majorBidi" w:cstheme="majorBidi"/>
          <w:color w:val="000000"/>
          <w:sz w:val="24"/>
          <w:szCs w:val="24"/>
          <w:shd w:val="clear" w:color="auto" w:fill="FFFFFF"/>
        </w:rPr>
        <w:t xml:space="preserve"> </w:t>
      </w:r>
      <w:bookmarkStart w:id="72" w:name="nad03fa29-a14e-4396-a1a7-195bcd807cb8"/>
      <w:r w:rsidR="00CC7FF2" w:rsidRPr="00252AC9">
        <w:rPr>
          <w:rFonts w:asciiTheme="majorBidi" w:hAnsiTheme="majorBidi" w:cstheme="majorBidi"/>
          <w:sz w:val="24"/>
          <w:szCs w:val="24"/>
        </w:rPr>
        <w:fldChar w:fldCharType="begin"/>
      </w:r>
      <w:r w:rsidR="00CC7FF2" w:rsidRPr="00252AC9">
        <w:rPr>
          <w:rFonts w:asciiTheme="majorBidi" w:hAnsiTheme="majorBidi" w:cstheme="majorBidi"/>
          <w:sz w:val="24"/>
          <w:szCs w:val="24"/>
        </w:rPr>
        <w:instrText>HYPERLINK "https://www.infolex.lt/tp/2430001" \o "Juridinio asmens turto pardavimo principai" \t "_blank"</w:instrText>
      </w:r>
      <w:r w:rsidR="00CC7FF2" w:rsidRPr="00252AC9">
        <w:rPr>
          <w:rFonts w:asciiTheme="majorBidi" w:hAnsiTheme="majorBidi" w:cstheme="majorBidi"/>
          <w:sz w:val="24"/>
          <w:szCs w:val="24"/>
        </w:rPr>
      </w:r>
      <w:r w:rsidR="00CC7FF2" w:rsidRPr="00252AC9">
        <w:rPr>
          <w:rFonts w:asciiTheme="majorBidi" w:hAnsiTheme="majorBidi" w:cstheme="majorBidi"/>
          <w:sz w:val="24"/>
          <w:szCs w:val="24"/>
        </w:rPr>
        <w:fldChar w:fldCharType="separate"/>
      </w:r>
      <w:r w:rsidR="00CC7FF2" w:rsidRPr="00252AC9">
        <w:rPr>
          <w:rStyle w:val="Hyperlink"/>
          <w:rFonts w:asciiTheme="majorBidi" w:hAnsiTheme="majorBidi" w:cstheme="majorBidi"/>
          <w:color w:val="000000"/>
          <w:sz w:val="24"/>
          <w:szCs w:val="24"/>
          <w:u w:val="none"/>
          <w:shd w:val="clear" w:color="auto" w:fill="FFFFFF"/>
        </w:rPr>
        <w:t>85</w:t>
      </w:r>
      <w:r w:rsidR="00CC7FF2" w:rsidRPr="00252AC9">
        <w:rPr>
          <w:rFonts w:asciiTheme="majorBidi" w:hAnsiTheme="majorBidi" w:cstheme="majorBidi"/>
          <w:sz w:val="24"/>
          <w:szCs w:val="24"/>
        </w:rPr>
        <w:fldChar w:fldCharType="end"/>
      </w:r>
      <w:bookmarkStart w:id="73" w:name="pnad03fa29-a14e-4396-a1a7-195bcd807cb8"/>
      <w:bookmarkEnd w:id="72"/>
      <w:bookmarkEnd w:id="73"/>
      <w:r w:rsidR="00CC7FF2" w:rsidRPr="00252AC9">
        <w:rPr>
          <w:rFonts w:asciiTheme="majorBidi" w:hAnsiTheme="majorBidi" w:cstheme="majorBidi"/>
          <w:color w:val="000000"/>
          <w:sz w:val="24"/>
          <w:szCs w:val="24"/>
          <w:shd w:val="clear" w:color="auto" w:fill="FFFFFF"/>
        </w:rPr>
        <w:t xml:space="preserve"> straipsnio 3 punktas) ir kek įmanoma daugiau patenkinti kreditorių finansinius reikalavimus.</w:t>
      </w:r>
    </w:p>
    <w:p w14:paraId="0C6BB61D"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shd w:val="clear" w:color="auto" w:fill="FFFFFF"/>
        </w:rPr>
      </w:pPr>
    </w:p>
    <w:p w14:paraId="1B36249E"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rugsėjo 15 d. nutartis, priimta civilinėje byloje Nr. </w:t>
      </w:r>
      <w:r w:rsidRPr="00252AC9">
        <w:rPr>
          <w:rFonts w:asciiTheme="majorBidi" w:hAnsiTheme="majorBidi" w:cstheme="majorBidi"/>
          <w:i/>
          <w:iCs/>
          <w:color w:val="000000"/>
          <w:sz w:val="24"/>
          <w:szCs w:val="24"/>
          <w:shd w:val="clear" w:color="auto" w:fill="FFFFFF"/>
        </w:rPr>
        <w:t>e2-879-567/2026</w:t>
      </w:r>
    </w:p>
    <w:p w14:paraId="07279014" w14:textId="77777777" w:rsidR="00CC7FF2" w:rsidRPr="00252AC9" w:rsidRDefault="00CC7FF2" w:rsidP="00252AC9">
      <w:pPr>
        <w:pStyle w:val="ListParagraph"/>
        <w:spacing w:after="0" w:line="240" w:lineRule="auto"/>
        <w:ind w:left="0"/>
        <w:jc w:val="both"/>
        <w:rPr>
          <w:rFonts w:asciiTheme="majorBidi" w:hAnsiTheme="majorBidi" w:cstheme="majorBidi"/>
          <w:sz w:val="24"/>
          <w:szCs w:val="24"/>
        </w:rPr>
      </w:pPr>
    </w:p>
    <w:p w14:paraId="13CEF81B" w14:textId="03C7BE79" w:rsidR="00CC7FF2" w:rsidRPr="00262F06" w:rsidRDefault="00CC7FF2" w:rsidP="009A263E">
      <w:pPr>
        <w:pStyle w:val="ListParagraph"/>
        <w:numPr>
          <w:ilvl w:val="0"/>
          <w:numId w:val="27"/>
        </w:numPr>
        <w:spacing w:after="0" w:line="240" w:lineRule="auto"/>
        <w:ind w:left="993" w:firstLine="0"/>
        <w:rPr>
          <w:rFonts w:asciiTheme="majorBidi" w:hAnsiTheme="majorBidi" w:cstheme="majorBidi"/>
          <w:color w:val="2E74B5" w:themeColor="accent1" w:themeShade="BF"/>
          <w:sz w:val="24"/>
          <w:szCs w:val="24"/>
        </w:rPr>
      </w:pPr>
      <w:r w:rsidRPr="00262F06">
        <w:rPr>
          <w:rFonts w:asciiTheme="majorBidi" w:hAnsiTheme="majorBidi" w:cstheme="majorBidi"/>
          <w:color w:val="2E74B5" w:themeColor="accent1" w:themeShade="BF"/>
          <w:sz w:val="24"/>
          <w:szCs w:val="24"/>
        </w:rPr>
        <w:t>Dėl bendrovės nemokumo momento</w:t>
      </w:r>
    </w:p>
    <w:p w14:paraId="0610D710" w14:textId="77777777" w:rsidR="00CC7FF2" w:rsidRPr="00252AC9" w:rsidRDefault="00CC7FF2" w:rsidP="00252AC9">
      <w:pPr>
        <w:pStyle w:val="ListParagraph"/>
        <w:spacing w:after="0" w:line="240" w:lineRule="auto"/>
        <w:ind w:left="0"/>
        <w:rPr>
          <w:rFonts w:asciiTheme="majorBidi" w:hAnsiTheme="majorBidi" w:cstheme="majorBidi"/>
          <w:color w:val="98A7BD" w:themeColor="text2" w:themeTint="80"/>
          <w:sz w:val="24"/>
          <w:szCs w:val="24"/>
        </w:rPr>
      </w:pPr>
    </w:p>
    <w:p w14:paraId="4F173D94" w14:textId="767FC55C" w:rsidR="00CC7FF2" w:rsidRPr="00252AC9" w:rsidRDefault="00CC7FF2" w:rsidP="009A263E">
      <w:pPr>
        <w:pStyle w:val="ListParagraph"/>
        <w:tabs>
          <w:tab w:val="left" w:pos="993"/>
        </w:tabs>
        <w:spacing w:after="0" w:line="240" w:lineRule="auto"/>
        <w:ind w:left="0"/>
        <w:jc w:val="both"/>
        <w:rPr>
          <w:rFonts w:asciiTheme="majorBidi" w:hAnsiTheme="majorBidi" w:cstheme="majorBidi"/>
          <w:color w:val="000000"/>
          <w:sz w:val="24"/>
          <w:szCs w:val="24"/>
        </w:rPr>
      </w:pPr>
      <w:r w:rsidRPr="00252AC9">
        <w:rPr>
          <w:rFonts w:asciiTheme="majorBidi" w:hAnsiTheme="majorBidi" w:cstheme="majorBidi"/>
          <w:color w:val="000000"/>
          <w:sz w:val="24"/>
          <w:szCs w:val="24"/>
        </w:rPr>
        <w:t xml:space="preserve">        </w:t>
      </w:r>
      <w:r w:rsidR="009A263E">
        <w:rPr>
          <w:rFonts w:asciiTheme="majorBidi" w:hAnsiTheme="majorBidi" w:cstheme="majorBidi"/>
          <w:color w:val="000000"/>
          <w:sz w:val="24"/>
          <w:szCs w:val="24"/>
        </w:rPr>
        <w:t xml:space="preserve">      </w:t>
      </w:r>
      <w:r w:rsidRPr="00252AC9">
        <w:rPr>
          <w:rFonts w:asciiTheme="majorBidi" w:hAnsiTheme="majorBidi" w:cstheme="majorBidi"/>
          <w:color w:val="000000"/>
          <w:sz w:val="24"/>
          <w:szCs w:val="24"/>
        </w:rPr>
        <w:t xml:space="preserve">  LAp</w:t>
      </w:r>
      <w:r w:rsidR="00243497">
        <w:rPr>
          <w:rFonts w:asciiTheme="majorBidi" w:hAnsiTheme="majorBidi" w:cstheme="majorBidi"/>
          <w:color w:val="000000"/>
          <w:sz w:val="24"/>
          <w:szCs w:val="24"/>
        </w:rPr>
        <w:t>T</w:t>
      </w:r>
      <w:r w:rsidRPr="00252AC9">
        <w:rPr>
          <w:rFonts w:asciiTheme="majorBidi" w:hAnsiTheme="majorBidi" w:cstheme="majorBidi"/>
          <w:color w:val="000000"/>
          <w:sz w:val="24"/>
          <w:szCs w:val="24"/>
        </w:rPr>
        <w:t xml:space="preserve"> pažymi, kad alternatyvus balanso ir likvidumo testų taikymas nereiškia, kad bet kuris iš jų gali būti taikomas formaliai. Draudimas šiuos testus taikyti formaliai atsispindi tiek </w:t>
      </w:r>
      <w:bookmarkStart w:id="74" w:name="n5b717d01-34bd-493f-b607-2b09692d7679"/>
      <w:r w:rsidRPr="00252AC9">
        <w:rPr>
          <w:rFonts w:asciiTheme="majorBidi" w:hAnsiTheme="majorBidi" w:cstheme="majorBidi"/>
          <w:sz w:val="24"/>
          <w:szCs w:val="24"/>
        </w:rPr>
        <w:fldChar w:fldCharType="begin"/>
      </w:r>
      <w:r w:rsidRPr="00252AC9">
        <w:rPr>
          <w:rFonts w:asciiTheme="majorBidi" w:hAnsiTheme="majorBidi" w:cstheme="majorBidi"/>
          <w:sz w:val="24"/>
          <w:szCs w:val="24"/>
        </w:rPr>
        <w:instrText>HYPERLINK "https://www.infolex.lt/ta/541479" \o "Lietuvos Respublikos juridinių asmenų nemokumo įstatymas" \t "_blank"</w:instrText>
      </w:r>
      <w:r w:rsidRPr="00252AC9">
        <w:rPr>
          <w:rFonts w:asciiTheme="majorBidi" w:hAnsiTheme="majorBidi" w:cstheme="majorBidi"/>
          <w:sz w:val="24"/>
          <w:szCs w:val="24"/>
        </w:rPr>
      </w:r>
      <w:r w:rsidRPr="00252AC9">
        <w:rPr>
          <w:rFonts w:asciiTheme="majorBidi" w:hAnsiTheme="majorBidi" w:cstheme="majorBidi"/>
          <w:sz w:val="24"/>
          <w:szCs w:val="24"/>
        </w:rPr>
        <w:fldChar w:fldCharType="separate"/>
      </w:r>
      <w:r w:rsidRPr="00252AC9">
        <w:rPr>
          <w:rStyle w:val="Hyperlink"/>
          <w:rFonts w:asciiTheme="majorBidi" w:hAnsiTheme="majorBidi" w:cstheme="majorBidi"/>
          <w:color w:val="000000"/>
          <w:sz w:val="24"/>
          <w:szCs w:val="24"/>
          <w:u w:val="none"/>
        </w:rPr>
        <w:t>JANĮ</w:t>
      </w:r>
      <w:r w:rsidRPr="00252AC9">
        <w:rPr>
          <w:rFonts w:asciiTheme="majorBidi" w:hAnsiTheme="majorBidi" w:cstheme="majorBidi"/>
          <w:sz w:val="24"/>
          <w:szCs w:val="24"/>
        </w:rPr>
        <w:fldChar w:fldCharType="end"/>
      </w:r>
      <w:bookmarkStart w:id="75" w:name="pn5b717d01-34bd-493f-b607-2b09692d7679"/>
      <w:bookmarkEnd w:id="74"/>
      <w:bookmarkEnd w:id="75"/>
      <w:r w:rsidRPr="00252AC9">
        <w:rPr>
          <w:rFonts w:asciiTheme="majorBidi" w:hAnsiTheme="majorBidi" w:cstheme="majorBidi"/>
          <w:color w:val="000000"/>
          <w:sz w:val="24"/>
          <w:szCs w:val="24"/>
        </w:rPr>
        <w:t xml:space="preserve"> aiškinamajame rašte, tiek teisės doktrinoje. Pavyzdžiui, </w:t>
      </w:r>
      <w:bookmarkStart w:id="76" w:name="n4b0957b3-4d14-4b1b-a7ec-883de36aa852"/>
      <w:r w:rsidRPr="00252AC9">
        <w:rPr>
          <w:rFonts w:asciiTheme="majorBidi" w:hAnsiTheme="majorBidi" w:cstheme="majorBidi"/>
          <w:sz w:val="24"/>
          <w:szCs w:val="24"/>
        </w:rPr>
        <w:fldChar w:fldCharType="begin"/>
      </w:r>
      <w:r w:rsidRPr="00252AC9">
        <w:rPr>
          <w:rFonts w:asciiTheme="majorBidi" w:hAnsiTheme="majorBidi" w:cstheme="majorBidi"/>
          <w:sz w:val="24"/>
          <w:szCs w:val="24"/>
        </w:rPr>
        <w:instrText>HYPERLINK "https://www.infolex.lt/ta/541479" \o "Lietuvos Respublikos juridinių asmenų nemokumo įstatymas" \t "_blank"</w:instrText>
      </w:r>
      <w:r w:rsidRPr="00252AC9">
        <w:rPr>
          <w:rFonts w:asciiTheme="majorBidi" w:hAnsiTheme="majorBidi" w:cstheme="majorBidi"/>
          <w:sz w:val="24"/>
          <w:szCs w:val="24"/>
        </w:rPr>
      </w:r>
      <w:r w:rsidRPr="00252AC9">
        <w:rPr>
          <w:rFonts w:asciiTheme="majorBidi" w:hAnsiTheme="majorBidi" w:cstheme="majorBidi"/>
          <w:sz w:val="24"/>
          <w:szCs w:val="24"/>
        </w:rPr>
        <w:fldChar w:fldCharType="separate"/>
      </w:r>
      <w:r w:rsidRPr="00252AC9">
        <w:rPr>
          <w:rStyle w:val="Hyperlink"/>
          <w:rFonts w:asciiTheme="majorBidi" w:hAnsiTheme="majorBidi" w:cstheme="majorBidi"/>
          <w:color w:val="000000"/>
          <w:sz w:val="24"/>
          <w:szCs w:val="24"/>
          <w:u w:val="none"/>
        </w:rPr>
        <w:t>JANĮ</w:t>
      </w:r>
      <w:r w:rsidRPr="00252AC9">
        <w:rPr>
          <w:rFonts w:asciiTheme="majorBidi" w:hAnsiTheme="majorBidi" w:cstheme="majorBidi"/>
          <w:sz w:val="24"/>
          <w:szCs w:val="24"/>
        </w:rPr>
        <w:fldChar w:fldCharType="end"/>
      </w:r>
      <w:bookmarkStart w:id="77" w:name="pn4b0957b3-4d14-4b1b-a7ec-883de36aa852"/>
      <w:bookmarkEnd w:id="76"/>
      <w:bookmarkEnd w:id="77"/>
      <w:r w:rsidRPr="00252AC9">
        <w:rPr>
          <w:rFonts w:asciiTheme="majorBidi" w:hAnsiTheme="majorBidi" w:cstheme="majorBidi"/>
          <w:color w:val="000000"/>
          <w:sz w:val="24"/>
          <w:szCs w:val="24"/>
        </w:rPr>
        <w:t xml:space="preserve"> aiškinamajame rašte nurodyta, kad, keliant juridinio asmens bankroto bylą, turėtų būti nustatoma reali į balansą įrašyto turto vertė, o juridinio asmens balanso duomenimis apie turtą ir jo vertę būtų galima remtis tik tuo atveju, kai nekyla abejonių dėl balanso duomenų patikimumo. Doktrinoje aiškinant likvidumo testą pažymima, kad vien tai, jog įmonė nevykdo (netinkamai vykdo) prievolių, neturi būti pagrindas nemokumo procesui inicijuoti, nes skolininko kontrahentai, visų pirma, turėtų rinktis kitus teisėtus prievolinių teisių gynybos būdus (pavyzdžiui, kreiptis į teismą dėl prievolės nevykdymo ir pan.).</w:t>
      </w:r>
    </w:p>
    <w:p w14:paraId="49A23C85" w14:textId="77777777" w:rsidR="00CC7FF2" w:rsidRPr="00252AC9" w:rsidRDefault="00CC7FF2" w:rsidP="00252AC9">
      <w:pPr>
        <w:pStyle w:val="ListParagraph"/>
        <w:spacing w:after="0" w:line="240" w:lineRule="auto"/>
        <w:ind w:left="0"/>
        <w:jc w:val="both"/>
        <w:rPr>
          <w:rFonts w:asciiTheme="majorBidi" w:hAnsiTheme="majorBidi" w:cstheme="majorBidi"/>
          <w:color w:val="000000"/>
          <w:sz w:val="24"/>
          <w:szCs w:val="24"/>
        </w:rPr>
      </w:pPr>
    </w:p>
    <w:p w14:paraId="6FF8876A"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rugsėjo 16 d. nutartis, priimta civilinėje byloje Nr. </w:t>
      </w:r>
      <w:r w:rsidRPr="00252AC9">
        <w:rPr>
          <w:rFonts w:asciiTheme="majorBidi" w:hAnsiTheme="majorBidi" w:cstheme="majorBidi"/>
          <w:i/>
          <w:iCs/>
          <w:color w:val="000000"/>
          <w:sz w:val="24"/>
          <w:szCs w:val="24"/>
          <w:shd w:val="clear" w:color="auto" w:fill="FFFFFF"/>
        </w:rPr>
        <w:t>e2-882-910/2026</w:t>
      </w:r>
    </w:p>
    <w:p w14:paraId="5C7816DE" w14:textId="77777777" w:rsidR="00CC7FF2" w:rsidRPr="000E2954" w:rsidRDefault="00CC7FF2" w:rsidP="002C337C">
      <w:pPr>
        <w:pStyle w:val="NormalWeb"/>
        <w:shd w:val="clear" w:color="auto" w:fill="FFFFFF"/>
        <w:spacing w:before="0" w:beforeAutospacing="0" w:after="0" w:afterAutospacing="0"/>
        <w:jc w:val="both"/>
        <w:rPr>
          <w:rFonts w:asciiTheme="majorBidi" w:hAnsiTheme="majorBidi" w:cstheme="majorBidi"/>
          <w:color w:val="5B9BD5" w:themeColor="accent1"/>
        </w:rPr>
      </w:pPr>
    </w:p>
    <w:p w14:paraId="06121DEA" w14:textId="1ABE65EA" w:rsidR="00CC7FF2" w:rsidRPr="00262F06" w:rsidRDefault="007A5B7C" w:rsidP="007A5B7C">
      <w:pPr>
        <w:pStyle w:val="NormalWeb"/>
        <w:numPr>
          <w:ilvl w:val="0"/>
          <w:numId w:val="27"/>
        </w:numPr>
        <w:shd w:val="clear" w:color="auto" w:fill="FFFFFF"/>
        <w:spacing w:before="0" w:beforeAutospacing="0" w:after="0" w:afterAutospacing="0"/>
        <w:ind w:left="993" w:firstLine="0"/>
        <w:jc w:val="both"/>
        <w:rPr>
          <w:rFonts w:asciiTheme="majorBidi" w:hAnsiTheme="majorBidi" w:cstheme="majorBidi"/>
          <w:color w:val="2E74B5" w:themeColor="accent1" w:themeShade="BF"/>
        </w:rPr>
      </w:pPr>
      <w:r>
        <w:rPr>
          <w:rFonts w:asciiTheme="majorBidi" w:hAnsiTheme="majorBidi" w:cstheme="majorBidi"/>
          <w:color w:val="2E74B5" w:themeColor="accent1" w:themeShade="BF"/>
        </w:rPr>
        <w:t xml:space="preserve"> </w:t>
      </w:r>
      <w:r w:rsidR="00CC7FF2" w:rsidRPr="00262F06">
        <w:rPr>
          <w:rFonts w:asciiTheme="majorBidi" w:hAnsiTheme="majorBidi" w:cstheme="majorBidi"/>
          <w:color w:val="2E74B5" w:themeColor="accent1" w:themeShade="BF"/>
        </w:rPr>
        <w:t>Dėl akcininko atsakomybės pripažinus bankrotą tyčiniu</w:t>
      </w:r>
    </w:p>
    <w:p w14:paraId="001256A1" w14:textId="77777777" w:rsidR="00CC7FF2" w:rsidRPr="00252AC9" w:rsidRDefault="00CC7FF2" w:rsidP="00252AC9">
      <w:pPr>
        <w:pStyle w:val="NormalWeb"/>
        <w:shd w:val="clear" w:color="auto" w:fill="FFFFFF"/>
        <w:spacing w:before="0" w:beforeAutospacing="0" w:after="0" w:afterAutospacing="0"/>
        <w:jc w:val="both"/>
        <w:rPr>
          <w:rFonts w:asciiTheme="majorBidi" w:hAnsiTheme="majorBidi" w:cstheme="majorBidi"/>
          <w:color w:val="000000"/>
        </w:rPr>
      </w:pPr>
    </w:p>
    <w:p w14:paraId="5A920FF1" w14:textId="2F43BC99" w:rsidR="00CC7FF2" w:rsidRPr="00252AC9" w:rsidRDefault="00CC7FF2" w:rsidP="007A5B7C">
      <w:pPr>
        <w:pStyle w:val="NormalWeb"/>
        <w:shd w:val="clear" w:color="auto" w:fill="FFFFFF"/>
        <w:tabs>
          <w:tab w:val="left" w:pos="993"/>
        </w:tabs>
        <w:spacing w:before="0" w:beforeAutospacing="0" w:after="0" w:afterAutospacing="0"/>
        <w:jc w:val="both"/>
        <w:rPr>
          <w:rFonts w:asciiTheme="majorBidi" w:hAnsiTheme="majorBidi" w:cstheme="majorBidi"/>
          <w:color w:val="000000"/>
        </w:rPr>
      </w:pPr>
      <w:r w:rsidRPr="00252AC9">
        <w:rPr>
          <w:rFonts w:asciiTheme="majorBidi" w:hAnsiTheme="majorBidi" w:cstheme="majorBidi"/>
          <w:color w:val="000000"/>
        </w:rPr>
        <w:t xml:space="preserve">          </w:t>
      </w:r>
      <w:r w:rsidR="000E2954">
        <w:rPr>
          <w:rFonts w:asciiTheme="majorBidi" w:hAnsiTheme="majorBidi" w:cstheme="majorBidi"/>
          <w:color w:val="000000"/>
        </w:rPr>
        <w:t xml:space="preserve"> </w:t>
      </w:r>
      <w:r w:rsidR="007A5B7C">
        <w:rPr>
          <w:rFonts w:asciiTheme="majorBidi" w:hAnsiTheme="majorBidi" w:cstheme="majorBidi"/>
          <w:color w:val="000000"/>
        </w:rPr>
        <w:t xml:space="preserve">     </w:t>
      </w:r>
      <w:r w:rsidRPr="00252AC9">
        <w:rPr>
          <w:rFonts w:asciiTheme="majorBidi" w:hAnsiTheme="majorBidi" w:cstheme="majorBidi"/>
          <w:color w:val="000000"/>
        </w:rPr>
        <w:t>LAp</w:t>
      </w:r>
      <w:r w:rsidR="00243497">
        <w:rPr>
          <w:rFonts w:asciiTheme="majorBidi" w:hAnsiTheme="majorBidi" w:cstheme="majorBidi"/>
          <w:color w:val="000000"/>
        </w:rPr>
        <w:t>T</w:t>
      </w:r>
      <w:r w:rsidRPr="00252AC9">
        <w:rPr>
          <w:rFonts w:asciiTheme="majorBidi" w:hAnsiTheme="majorBidi" w:cstheme="majorBidi"/>
          <w:color w:val="000000"/>
        </w:rPr>
        <w:t xml:space="preserve"> konstatuoja, kad vien tik akcininko galimas nepakankamas aktyvumas, nesant įrodytų sąmoningų ir tyčinių veiksmų, kuriais būtų siekta privesti bendrovę prie bankroto ar išvengti atsiskaitymo su kreditoriais, negali būti laikomas veiksmais (neveikimu) nukreiptu į tyčinį bendrovės bankrotą. </w:t>
      </w:r>
    </w:p>
    <w:p w14:paraId="307A65E6" w14:textId="77777777" w:rsidR="00CC7FF2" w:rsidRPr="00252AC9" w:rsidRDefault="00CC7FF2" w:rsidP="00252AC9">
      <w:pPr>
        <w:pStyle w:val="NormalWeb"/>
        <w:shd w:val="clear" w:color="auto" w:fill="FFFFFF"/>
        <w:spacing w:before="0" w:beforeAutospacing="0" w:after="0" w:afterAutospacing="0"/>
        <w:jc w:val="both"/>
        <w:rPr>
          <w:rFonts w:asciiTheme="majorBidi" w:hAnsiTheme="majorBidi" w:cstheme="majorBidi"/>
          <w:color w:val="000000"/>
        </w:rPr>
      </w:pPr>
    </w:p>
    <w:p w14:paraId="62A3E565" w14:textId="77777777" w:rsidR="00CC7FF2" w:rsidRPr="00252AC9" w:rsidRDefault="00CC7FF2" w:rsidP="00252AC9">
      <w:pPr>
        <w:pStyle w:val="ListParagraph"/>
        <w:pBdr>
          <w:bottom w:val="dotted" w:sz="24" w:space="1" w:color="auto"/>
        </w:pBdr>
        <w:spacing w:after="0" w:line="240" w:lineRule="auto"/>
        <w:ind w:left="0"/>
        <w:jc w:val="both"/>
        <w:rPr>
          <w:rFonts w:asciiTheme="majorBidi" w:hAnsiTheme="majorBidi" w:cstheme="majorBidi"/>
          <w:i/>
          <w:iCs/>
          <w:sz w:val="24"/>
          <w:szCs w:val="24"/>
        </w:rPr>
      </w:pPr>
      <w:r w:rsidRPr="00252AC9">
        <w:rPr>
          <w:rFonts w:asciiTheme="majorBidi" w:hAnsiTheme="majorBidi" w:cstheme="majorBidi"/>
          <w:i/>
          <w:iCs/>
          <w:sz w:val="24"/>
          <w:szCs w:val="24"/>
        </w:rPr>
        <w:t xml:space="preserve">Lietuvos apeliacinio teismo 2026 m. rugsėjo 24 d. nutartis, priimta civilinėje byloje Nr. </w:t>
      </w:r>
      <w:r w:rsidRPr="00252AC9">
        <w:rPr>
          <w:rFonts w:asciiTheme="majorBidi" w:hAnsiTheme="majorBidi" w:cstheme="majorBidi"/>
          <w:i/>
          <w:iCs/>
          <w:color w:val="000000"/>
          <w:sz w:val="24"/>
          <w:szCs w:val="24"/>
          <w:shd w:val="clear" w:color="auto" w:fill="FFFFFF"/>
        </w:rPr>
        <w:t>e2-926-854/2026</w:t>
      </w:r>
    </w:p>
    <w:p w14:paraId="44A4406A" w14:textId="77777777" w:rsidR="00CC7FF2" w:rsidRPr="00252AC9" w:rsidRDefault="00CC7FF2" w:rsidP="00252AC9">
      <w:pPr>
        <w:pStyle w:val="ListParagraph"/>
        <w:spacing w:after="0" w:line="240" w:lineRule="auto"/>
        <w:ind w:left="0"/>
        <w:jc w:val="both"/>
        <w:rPr>
          <w:rFonts w:asciiTheme="majorBidi" w:hAnsiTheme="majorBidi" w:cstheme="majorBidi"/>
          <w:i/>
          <w:iCs/>
          <w:sz w:val="24"/>
          <w:szCs w:val="24"/>
        </w:rPr>
      </w:pPr>
    </w:p>
    <w:p w14:paraId="6C47EB7C" w14:textId="77777777" w:rsidR="00CC7FF2" w:rsidRPr="00CC7FF2" w:rsidRDefault="00CC7FF2" w:rsidP="00CC7FF2">
      <w:pPr>
        <w:pStyle w:val="ListParagraph"/>
        <w:spacing w:after="0" w:line="240" w:lineRule="auto"/>
        <w:ind w:left="1080"/>
        <w:rPr>
          <w:rFonts w:asciiTheme="majorBidi" w:hAnsiTheme="majorBidi" w:cstheme="majorBidi"/>
          <w:color w:val="98A7BD" w:themeColor="text2" w:themeTint="80"/>
        </w:rPr>
      </w:pPr>
    </w:p>
    <w:p w14:paraId="4E49A1C7" w14:textId="0BB02D13" w:rsidR="00AB7F95" w:rsidRPr="00262F06" w:rsidRDefault="00AB7F95" w:rsidP="00AB7F95">
      <w:pPr>
        <w:rPr>
          <w:rFonts w:asciiTheme="majorBidi" w:hAnsiTheme="majorBidi" w:cstheme="majorBidi"/>
          <w:i/>
          <w:iCs/>
          <w:color w:val="2E74B5" w:themeColor="accent1" w:themeShade="BF"/>
          <w:sz w:val="20"/>
          <w:szCs w:val="20"/>
        </w:rPr>
      </w:pPr>
      <w:r w:rsidRPr="00262F06">
        <w:rPr>
          <w:rFonts w:asciiTheme="majorBidi" w:hAnsiTheme="majorBidi" w:cstheme="majorBidi"/>
          <w:i/>
          <w:iCs/>
          <w:color w:val="2E74B5" w:themeColor="accent1" w:themeShade="BF"/>
          <w:sz w:val="20"/>
          <w:szCs w:val="20"/>
        </w:rPr>
        <w:t xml:space="preserve">Pateiktoje apžvalgoje naudoti šaltiniai: </w:t>
      </w:r>
    </w:p>
    <w:p w14:paraId="3D8B8516" w14:textId="2BF99DC4" w:rsidR="00AB7F95" w:rsidRPr="00262F06" w:rsidRDefault="00AB7F95" w:rsidP="00AB7F95">
      <w:pPr>
        <w:rPr>
          <w:rFonts w:asciiTheme="majorBidi" w:hAnsiTheme="majorBidi" w:cstheme="majorBidi"/>
          <w:i/>
          <w:iCs/>
          <w:color w:val="2E74B5" w:themeColor="accent1" w:themeShade="BF"/>
          <w:sz w:val="20"/>
          <w:szCs w:val="20"/>
        </w:rPr>
      </w:pPr>
      <w:r w:rsidRPr="00262F06">
        <w:rPr>
          <w:rFonts w:asciiTheme="majorBidi" w:hAnsiTheme="majorBidi" w:cstheme="majorBidi"/>
          <w:i/>
          <w:iCs/>
          <w:color w:val="2E74B5" w:themeColor="accent1" w:themeShade="BF"/>
          <w:sz w:val="20"/>
          <w:szCs w:val="20"/>
        </w:rPr>
        <w:t>1. Lietuvos Aukščiausias</w:t>
      </w:r>
      <w:r w:rsidR="00F771C9">
        <w:rPr>
          <w:rFonts w:asciiTheme="majorBidi" w:hAnsiTheme="majorBidi" w:cstheme="majorBidi"/>
          <w:i/>
          <w:iCs/>
          <w:color w:val="2E74B5" w:themeColor="accent1" w:themeShade="BF"/>
          <w:sz w:val="20"/>
          <w:szCs w:val="20"/>
        </w:rPr>
        <w:t>is</w:t>
      </w:r>
      <w:r w:rsidRPr="00262F06">
        <w:rPr>
          <w:rFonts w:asciiTheme="majorBidi" w:hAnsiTheme="majorBidi" w:cstheme="majorBidi"/>
          <w:i/>
          <w:iCs/>
          <w:color w:val="2E74B5" w:themeColor="accent1" w:themeShade="BF"/>
          <w:sz w:val="20"/>
          <w:szCs w:val="20"/>
        </w:rPr>
        <w:t xml:space="preserve"> Teismas. Prieiga per internetą</w:t>
      </w:r>
      <w:r w:rsidR="005A226F" w:rsidRPr="00262F06">
        <w:rPr>
          <w:rFonts w:asciiTheme="majorBidi" w:hAnsiTheme="majorBidi" w:cstheme="majorBidi"/>
          <w:i/>
          <w:iCs/>
          <w:color w:val="2E74B5" w:themeColor="accent1" w:themeShade="BF"/>
          <w:sz w:val="20"/>
          <w:szCs w:val="20"/>
        </w:rPr>
        <w:t xml:space="preserve"> </w:t>
      </w:r>
      <w:hyperlink r:id="rId9" w:history="1">
        <w:r w:rsidR="00F068F6" w:rsidRPr="00262F06">
          <w:rPr>
            <w:rStyle w:val="Hyperlink"/>
            <w:rFonts w:asciiTheme="majorBidi" w:hAnsiTheme="majorBidi" w:cstheme="majorBidi"/>
            <w:i/>
            <w:iCs/>
            <w:color w:val="2E74B5" w:themeColor="accent1" w:themeShade="BF"/>
            <w:sz w:val="20"/>
            <w:szCs w:val="20"/>
          </w:rPr>
          <w:t>čia</w:t>
        </w:r>
      </w:hyperlink>
      <w:r w:rsidR="00F068F6" w:rsidRPr="00262F06">
        <w:rPr>
          <w:rFonts w:asciiTheme="majorBidi" w:hAnsiTheme="majorBidi" w:cstheme="majorBidi"/>
          <w:i/>
          <w:iCs/>
          <w:color w:val="2E74B5" w:themeColor="accent1" w:themeShade="BF"/>
          <w:sz w:val="20"/>
          <w:szCs w:val="20"/>
        </w:rPr>
        <w:t xml:space="preserve"> </w:t>
      </w:r>
      <w:r w:rsidRPr="00262F06">
        <w:rPr>
          <w:rFonts w:asciiTheme="majorBidi" w:hAnsiTheme="majorBidi" w:cstheme="majorBidi"/>
          <w:i/>
          <w:iCs/>
          <w:color w:val="2E74B5" w:themeColor="accent1" w:themeShade="BF"/>
          <w:sz w:val="20"/>
          <w:szCs w:val="20"/>
        </w:rPr>
        <w:t xml:space="preserve">. </w:t>
      </w:r>
    </w:p>
    <w:p w14:paraId="6E5A20A9" w14:textId="1F4E7A10" w:rsidR="00973DA0" w:rsidRPr="00262F06" w:rsidRDefault="00AB7F95" w:rsidP="00225694">
      <w:pPr>
        <w:rPr>
          <w:rFonts w:asciiTheme="majorBidi" w:hAnsiTheme="majorBidi" w:cstheme="majorBidi"/>
          <w:i/>
          <w:iCs/>
          <w:color w:val="2E74B5" w:themeColor="accent1" w:themeShade="BF"/>
          <w:sz w:val="20"/>
          <w:szCs w:val="20"/>
        </w:rPr>
      </w:pPr>
      <w:r w:rsidRPr="00262F06">
        <w:rPr>
          <w:rFonts w:asciiTheme="majorBidi" w:hAnsiTheme="majorBidi" w:cstheme="majorBidi"/>
          <w:i/>
          <w:iCs/>
          <w:color w:val="2E74B5" w:themeColor="accent1" w:themeShade="BF"/>
          <w:sz w:val="20"/>
          <w:szCs w:val="20"/>
        </w:rPr>
        <w:t>2. www.infolex.lt interneto svetainėje skelbiami teismų procesiniai sprendimai (mokama versija).</w:t>
      </w:r>
    </w:p>
    <w:sectPr w:rsidR="00973DA0" w:rsidRPr="00262F06" w:rsidSect="007F4B04">
      <w:headerReference w:type="even" r:id="rId10"/>
      <w:headerReference w:type="default" r:id="rId11"/>
      <w:footerReference w:type="default" r:id="rId12"/>
      <w:headerReference w:type="first" r:id="rId13"/>
      <w:pgSz w:w="11906" w:h="16838"/>
      <w:pgMar w:top="1985" w:right="1440" w:bottom="1985"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F112E" w14:textId="77777777" w:rsidR="00A20DD9" w:rsidRDefault="00A20DD9" w:rsidP="00CC3726">
      <w:pPr>
        <w:spacing w:after="0" w:line="240" w:lineRule="auto"/>
      </w:pPr>
      <w:r>
        <w:separator/>
      </w:r>
    </w:p>
  </w:endnote>
  <w:endnote w:type="continuationSeparator" w:id="0">
    <w:p w14:paraId="61B57B38" w14:textId="77777777" w:rsidR="00A20DD9" w:rsidRDefault="00A20DD9" w:rsidP="00CC3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762052"/>
      <w:docPartObj>
        <w:docPartGallery w:val="Page Numbers (Bottom of Page)"/>
        <w:docPartUnique/>
      </w:docPartObj>
    </w:sdtPr>
    <w:sdtEndPr>
      <w:rPr>
        <w:rFonts w:asciiTheme="majorBidi" w:hAnsiTheme="majorBidi" w:cstheme="majorBidi"/>
      </w:rPr>
    </w:sdtEndPr>
    <w:sdtContent>
      <w:p w14:paraId="7FB0B114" w14:textId="359FD430" w:rsidR="00595447" w:rsidRPr="00595447" w:rsidRDefault="00595447">
        <w:pPr>
          <w:pStyle w:val="Footer"/>
          <w:jc w:val="right"/>
          <w:rPr>
            <w:rFonts w:asciiTheme="majorBidi" w:hAnsiTheme="majorBidi" w:cstheme="majorBidi"/>
          </w:rPr>
        </w:pPr>
        <w:r w:rsidRPr="00595447">
          <w:rPr>
            <w:rFonts w:asciiTheme="majorBidi" w:hAnsiTheme="majorBidi" w:cstheme="majorBidi"/>
          </w:rPr>
          <w:fldChar w:fldCharType="begin"/>
        </w:r>
        <w:r w:rsidRPr="00595447">
          <w:rPr>
            <w:rFonts w:asciiTheme="majorBidi" w:hAnsiTheme="majorBidi" w:cstheme="majorBidi"/>
          </w:rPr>
          <w:instrText>PAGE   \* MERGEFORMAT</w:instrText>
        </w:r>
        <w:r w:rsidRPr="00595447">
          <w:rPr>
            <w:rFonts w:asciiTheme="majorBidi" w:hAnsiTheme="majorBidi" w:cstheme="majorBidi"/>
          </w:rPr>
          <w:fldChar w:fldCharType="separate"/>
        </w:r>
        <w:r w:rsidRPr="00595447">
          <w:rPr>
            <w:rFonts w:asciiTheme="majorBidi" w:hAnsiTheme="majorBidi" w:cstheme="majorBidi"/>
          </w:rPr>
          <w:t>2</w:t>
        </w:r>
        <w:r w:rsidRPr="00595447">
          <w:rPr>
            <w:rFonts w:asciiTheme="majorBidi" w:hAnsiTheme="majorBidi" w:cstheme="majorBidi"/>
          </w:rPr>
          <w:fldChar w:fldCharType="end"/>
        </w:r>
      </w:p>
    </w:sdtContent>
  </w:sdt>
  <w:p w14:paraId="1F1EA23A" w14:textId="77777777" w:rsidR="00595447" w:rsidRDefault="00595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7AAF7" w14:textId="77777777" w:rsidR="00A20DD9" w:rsidRDefault="00A20DD9" w:rsidP="00CC3726">
      <w:pPr>
        <w:spacing w:after="0" w:line="240" w:lineRule="auto"/>
      </w:pPr>
      <w:r>
        <w:separator/>
      </w:r>
    </w:p>
  </w:footnote>
  <w:footnote w:type="continuationSeparator" w:id="0">
    <w:p w14:paraId="4084C694" w14:textId="77777777" w:rsidR="00A20DD9" w:rsidRDefault="00A20DD9" w:rsidP="00CC3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DDF5" w14:textId="77777777" w:rsidR="00CC3726" w:rsidRDefault="00000000">
    <w:pPr>
      <w:pStyle w:val="Header"/>
    </w:pPr>
    <w:r>
      <w:rPr>
        <w:noProof/>
        <w:lang w:val="en-US"/>
      </w:rPr>
      <w:pict w14:anchorId="68AD3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516376" o:spid="_x0000_s1035" type="#_x0000_t75" style="position:absolute;margin-left:0;margin-top:0;width:603.3pt;height:971.45pt;z-index:-251657216;mso-position-horizontal:center;mso-position-horizontal-relative:margin;mso-position-vertical:center;mso-position-vertical-relative:margin" o:allowincell="f">
          <v:imagedata r:id="rId1" o:title="redaguojamas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CA8C7" w14:textId="74575486" w:rsidR="00CC3726" w:rsidRDefault="00995D8C">
    <w:pPr>
      <w:pStyle w:val="Header"/>
    </w:pPr>
    <w:r>
      <w:rPr>
        <w:noProof/>
      </w:rPr>
      <w:drawing>
        <wp:anchor distT="0" distB="0" distL="114300" distR="114300" simplePos="0" relativeHeight="251660288" behindDoc="1" locked="0" layoutInCell="1" allowOverlap="1" wp14:anchorId="55529715" wp14:editId="15DBBE2D">
          <wp:simplePos x="0" y="0"/>
          <wp:positionH relativeFrom="column">
            <wp:posOffset>-1104900</wp:posOffset>
          </wp:positionH>
          <wp:positionV relativeFrom="paragraph">
            <wp:posOffset>-1111159</wp:posOffset>
          </wp:positionV>
          <wp:extent cx="7895151" cy="1271149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5151" cy="1271149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62C6" w14:textId="77777777" w:rsidR="00CC3726" w:rsidRDefault="00000000">
    <w:pPr>
      <w:pStyle w:val="Header"/>
    </w:pPr>
    <w:r>
      <w:rPr>
        <w:noProof/>
        <w:lang w:val="en-US"/>
      </w:rPr>
      <w:pict w14:anchorId="25B28D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516375" o:spid="_x0000_s1034" type="#_x0000_t75" style="position:absolute;margin-left:0;margin-top:0;width:603.3pt;height:971.45pt;z-index:-251658240;mso-position-horizontal:center;mso-position-horizontal-relative:margin;mso-position-vertical:center;mso-position-vertical-relative:margin" o:allowincell="f">
          <v:imagedata r:id="rId1" o:title="redaguojamas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218"/>
    <w:multiLevelType w:val="hybridMultilevel"/>
    <w:tmpl w:val="7EAAC8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0F170A"/>
    <w:multiLevelType w:val="hybridMultilevel"/>
    <w:tmpl w:val="9B64E9C2"/>
    <w:lvl w:ilvl="0" w:tplc="F7924C7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843754"/>
    <w:multiLevelType w:val="hybridMultilevel"/>
    <w:tmpl w:val="5172F1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DF302F"/>
    <w:multiLevelType w:val="hybridMultilevel"/>
    <w:tmpl w:val="57E8B6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B2B76ED"/>
    <w:multiLevelType w:val="hybridMultilevel"/>
    <w:tmpl w:val="D6003C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09354F"/>
    <w:multiLevelType w:val="hybridMultilevel"/>
    <w:tmpl w:val="E74016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DB39C9"/>
    <w:multiLevelType w:val="hybridMultilevel"/>
    <w:tmpl w:val="9AE4AA1C"/>
    <w:lvl w:ilvl="0" w:tplc="8070E0E6">
      <w:start w:val="2026"/>
      <w:numFmt w:val="decimal"/>
      <w:lvlText w:val="%1"/>
      <w:lvlJc w:val="left"/>
      <w:pPr>
        <w:ind w:left="1224" w:hanging="432"/>
      </w:pPr>
      <w:rPr>
        <w:rFonts w:hint="default"/>
      </w:rPr>
    </w:lvl>
    <w:lvl w:ilvl="1" w:tplc="04270019" w:tentative="1">
      <w:start w:val="1"/>
      <w:numFmt w:val="lowerLetter"/>
      <w:lvlText w:val="%2."/>
      <w:lvlJc w:val="left"/>
      <w:pPr>
        <w:ind w:left="1872" w:hanging="360"/>
      </w:pPr>
    </w:lvl>
    <w:lvl w:ilvl="2" w:tplc="0427001B" w:tentative="1">
      <w:start w:val="1"/>
      <w:numFmt w:val="lowerRoman"/>
      <w:lvlText w:val="%3."/>
      <w:lvlJc w:val="right"/>
      <w:pPr>
        <w:ind w:left="2592" w:hanging="180"/>
      </w:pPr>
    </w:lvl>
    <w:lvl w:ilvl="3" w:tplc="0427000F" w:tentative="1">
      <w:start w:val="1"/>
      <w:numFmt w:val="decimal"/>
      <w:lvlText w:val="%4."/>
      <w:lvlJc w:val="left"/>
      <w:pPr>
        <w:ind w:left="3312" w:hanging="360"/>
      </w:pPr>
    </w:lvl>
    <w:lvl w:ilvl="4" w:tplc="04270019" w:tentative="1">
      <w:start w:val="1"/>
      <w:numFmt w:val="lowerLetter"/>
      <w:lvlText w:val="%5."/>
      <w:lvlJc w:val="left"/>
      <w:pPr>
        <w:ind w:left="4032" w:hanging="360"/>
      </w:pPr>
    </w:lvl>
    <w:lvl w:ilvl="5" w:tplc="0427001B" w:tentative="1">
      <w:start w:val="1"/>
      <w:numFmt w:val="lowerRoman"/>
      <w:lvlText w:val="%6."/>
      <w:lvlJc w:val="right"/>
      <w:pPr>
        <w:ind w:left="4752" w:hanging="180"/>
      </w:pPr>
    </w:lvl>
    <w:lvl w:ilvl="6" w:tplc="0427000F" w:tentative="1">
      <w:start w:val="1"/>
      <w:numFmt w:val="decimal"/>
      <w:lvlText w:val="%7."/>
      <w:lvlJc w:val="left"/>
      <w:pPr>
        <w:ind w:left="5472" w:hanging="360"/>
      </w:pPr>
    </w:lvl>
    <w:lvl w:ilvl="7" w:tplc="04270019" w:tentative="1">
      <w:start w:val="1"/>
      <w:numFmt w:val="lowerLetter"/>
      <w:lvlText w:val="%8."/>
      <w:lvlJc w:val="left"/>
      <w:pPr>
        <w:ind w:left="6192" w:hanging="360"/>
      </w:pPr>
    </w:lvl>
    <w:lvl w:ilvl="8" w:tplc="0427001B" w:tentative="1">
      <w:start w:val="1"/>
      <w:numFmt w:val="lowerRoman"/>
      <w:lvlText w:val="%9."/>
      <w:lvlJc w:val="right"/>
      <w:pPr>
        <w:ind w:left="6912" w:hanging="180"/>
      </w:pPr>
    </w:lvl>
  </w:abstractNum>
  <w:abstractNum w:abstractNumId="7" w15:restartNumberingAfterBreak="0">
    <w:nsid w:val="287838E2"/>
    <w:multiLevelType w:val="hybridMultilevel"/>
    <w:tmpl w:val="A82E9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C34147"/>
    <w:multiLevelType w:val="hybridMultilevel"/>
    <w:tmpl w:val="715409A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E4C51E1"/>
    <w:multiLevelType w:val="hybridMultilevel"/>
    <w:tmpl w:val="00D6564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FA39D6"/>
    <w:multiLevelType w:val="hybridMultilevel"/>
    <w:tmpl w:val="00D65646"/>
    <w:lvl w:ilvl="0" w:tplc="B2ACE79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4B368CF"/>
    <w:multiLevelType w:val="hybridMultilevel"/>
    <w:tmpl w:val="A830E72A"/>
    <w:lvl w:ilvl="0" w:tplc="60B2E048">
      <w:start w:val="2026"/>
      <w:numFmt w:val="decimal"/>
      <w:lvlText w:val="%1"/>
      <w:lvlJc w:val="left"/>
      <w:pPr>
        <w:ind w:left="792" w:hanging="432"/>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AD52E71"/>
    <w:multiLevelType w:val="hybridMultilevel"/>
    <w:tmpl w:val="FD624C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6E15F3"/>
    <w:multiLevelType w:val="hybridMultilevel"/>
    <w:tmpl w:val="CDF861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3B6856"/>
    <w:multiLevelType w:val="hybridMultilevel"/>
    <w:tmpl w:val="E5D0E4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1C6129F"/>
    <w:multiLevelType w:val="hybridMultilevel"/>
    <w:tmpl w:val="E07A5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410689"/>
    <w:multiLevelType w:val="hybridMultilevel"/>
    <w:tmpl w:val="0B2840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5CB48A3"/>
    <w:multiLevelType w:val="hybridMultilevel"/>
    <w:tmpl w:val="DBC0E8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4F1837"/>
    <w:multiLevelType w:val="hybridMultilevel"/>
    <w:tmpl w:val="F086C3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427185D"/>
    <w:multiLevelType w:val="hybridMultilevel"/>
    <w:tmpl w:val="A70AC4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3A33FF"/>
    <w:multiLevelType w:val="hybridMultilevel"/>
    <w:tmpl w:val="C2663B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9F6FDA"/>
    <w:multiLevelType w:val="hybridMultilevel"/>
    <w:tmpl w:val="F0E4DA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6359C2"/>
    <w:multiLevelType w:val="hybridMultilevel"/>
    <w:tmpl w:val="78D4EB58"/>
    <w:lvl w:ilvl="0" w:tplc="34D05D5E">
      <w:start w:val="1"/>
      <w:numFmt w:val="decimal"/>
      <w:lvlText w:val="%1."/>
      <w:lvlJc w:val="left"/>
      <w:pPr>
        <w:ind w:left="720" w:hanging="360"/>
      </w:pPr>
      <w:rPr>
        <w:rFonts w:hint="default"/>
        <w:b/>
        <w:bCs/>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74F7D5F"/>
    <w:multiLevelType w:val="hybridMultilevel"/>
    <w:tmpl w:val="5DDADA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120012"/>
    <w:multiLevelType w:val="hybridMultilevel"/>
    <w:tmpl w:val="6D8AA1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A487FF9"/>
    <w:multiLevelType w:val="multilevel"/>
    <w:tmpl w:val="9C20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FE4074"/>
    <w:multiLevelType w:val="hybridMultilevel"/>
    <w:tmpl w:val="51D4C1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42095163">
    <w:abstractNumId w:val="1"/>
  </w:num>
  <w:num w:numId="2" w16cid:durableId="837160519">
    <w:abstractNumId w:val="14"/>
  </w:num>
  <w:num w:numId="3" w16cid:durableId="1036274346">
    <w:abstractNumId w:val="26"/>
  </w:num>
  <w:num w:numId="4" w16cid:durableId="1484733872">
    <w:abstractNumId w:val="10"/>
  </w:num>
  <w:num w:numId="5" w16cid:durableId="37781307">
    <w:abstractNumId w:val="22"/>
  </w:num>
  <w:num w:numId="6" w16cid:durableId="848834490">
    <w:abstractNumId w:val="18"/>
  </w:num>
  <w:num w:numId="7" w16cid:durableId="1725988693">
    <w:abstractNumId w:val="2"/>
  </w:num>
  <w:num w:numId="8" w16cid:durableId="657733494">
    <w:abstractNumId w:val="25"/>
  </w:num>
  <w:num w:numId="9" w16cid:durableId="1602372993">
    <w:abstractNumId w:val="11"/>
  </w:num>
  <w:num w:numId="10" w16cid:durableId="1073746729">
    <w:abstractNumId w:val="6"/>
  </w:num>
  <w:num w:numId="11" w16cid:durableId="1632443624">
    <w:abstractNumId w:val="9"/>
  </w:num>
  <w:num w:numId="12" w16cid:durableId="202641633">
    <w:abstractNumId w:val="3"/>
  </w:num>
  <w:num w:numId="13" w16cid:durableId="801767922">
    <w:abstractNumId w:val="4"/>
  </w:num>
  <w:num w:numId="14" w16cid:durableId="143400455">
    <w:abstractNumId w:val="23"/>
  </w:num>
  <w:num w:numId="15" w16cid:durableId="181863837">
    <w:abstractNumId w:val="20"/>
  </w:num>
  <w:num w:numId="16" w16cid:durableId="1830902661">
    <w:abstractNumId w:val="24"/>
  </w:num>
  <w:num w:numId="17" w16cid:durableId="1720323297">
    <w:abstractNumId w:val="12"/>
  </w:num>
  <w:num w:numId="18" w16cid:durableId="1046299453">
    <w:abstractNumId w:val="21"/>
  </w:num>
  <w:num w:numId="19" w16cid:durableId="1119838056">
    <w:abstractNumId w:val="5"/>
  </w:num>
  <w:num w:numId="20" w16cid:durableId="991520081">
    <w:abstractNumId w:val="13"/>
  </w:num>
  <w:num w:numId="21" w16cid:durableId="197474207">
    <w:abstractNumId w:val="15"/>
  </w:num>
  <w:num w:numId="22" w16cid:durableId="1297176217">
    <w:abstractNumId w:val="17"/>
  </w:num>
  <w:num w:numId="23" w16cid:durableId="1580096740">
    <w:abstractNumId w:val="19"/>
  </w:num>
  <w:num w:numId="24" w16cid:durableId="1666855319">
    <w:abstractNumId w:val="7"/>
  </w:num>
  <w:num w:numId="25" w16cid:durableId="150801497">
    <w:abstractNumId w:val="0"/>
  </w:num>
  <w:num w:numId="26" w16cid:durableId="1342128039">
    <w:abstractNumId w:val="8"/>
  </w:num>
  <w:num w:numId="27" w16cid:durableId="2032551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726"/>
    <w:rsid w:val="00011860"/>
    <w:rsid w:val="000155B6"/>
    <w:rsid w:val="00015C84"/>
    <w:rsid w:val="00020A34"/>
    <w:rsid w:val="00024C55"/>
    <w:rsid w:val="0003033F"/>
    <w:rsid w:val="00046884"/>
    <w:rsid w:val="00070257"/>
    <w:rsid w:val="00073D06"/>
    <w:rsid w:val="00077708"/>
    <w:rsid w:val="00090F00"/>
    <w:rsid w:val="000A2D09"/>
    <w:rsid w:val="000B6EDC"/>
    <w:rsid w:val="000C4033"/>
    <w:rsid w:val="000C5E17"/>
    <w:rsid w:val="000D0FB9"/>
    <w:rsid w:val="000D4522"/>
    <w:rsid w:val="000D775F"/>
    <w:rsid w:val="000E2954"/>
    <w:rsid w:val="000E320C"/>
    <w:rsid w:val="000F6E45"/>
    <w:rsid w:val="00101B32"/>
    <w:rsid w:val="00102823"/>
    <w:rsid w:val="001063A6"/>
    <w:rsid w:val="00110CDA"/>
    <w:rsid w:val="001154F9"/>
    <w:rsid w:val="0012289D"/>
    <w:rsid w:val="00123A97"/>
    <w:rsid w:val="00130545"/>
    <w:rsid w:val="00136A88"/>
    <w:rsid w:val="00136BFC"/>
    <w:rsid w:val="00137137"/>
    <w:rsid w:val="00152D42"/>
    <w:rsid w:val="00154770"/>
    <w:rsid w:val="001709D2"/>
    <w:rsid w:val="00191EC9"/>
    <w:rsid w:val="001A79BA"/>
    <w:rsid w:val="001B3B6D"/>
    <w:rsid w:val="001B5999"/>
    <w:rsid w:val="001C0BED"/>
    <w:rsid w:val="001C125F"/>
    <w:rsid w:val="001C172C"/>
    <w:rsid w:val="001C6592"/>
    <w:rsid w:val="001C71C4"/>
    <w:rsid w:val="001D13F3"/>
    <w:rsid w:val="001D2628"/>
    <w:rsid w:val="001E05A0"/>
    <w:rsid w:val="001E42D6"/>
    <w:rsid w:val="001F00E5"/>
    <w:rsid w:val="001F114F"/>
    <w:rsid w:val="001F1A4E"/>
    <w:rsid w:val="001F707A"/>
    <w:rsid w:val="002064A3"/>
    <w:rsid w:val="0021080E"/>
    <w:rsid w:val="00224D04"/>
    <w:rsid w:val="00225694"/>
    <w:rsid w:val="00225696"/>
    <w:rsid w:val="002271E7"/>
    <w:rsid w:val="0023121B"/>
    <w:rsid w:val="0023239C"/>
    <w:rsid w:val="00233583"/>
    <w:rsid w:val="00243497"/>
    <w:rsid w:val="00244DE1"/>
    <w:rsid w:val="002506CD"/>
    <w:rsid w:val="00252AC9"/>
    <w:rsid w:val="00253CAF"/>
    <w:rsid w:val="002543B2"/>
    <w:rsid w:val="00260230"/>
    <w:rsid w:val="00261362"/>
    <w:rsid w:val="00262F06"/>
    <w:rsid w:val="00267FEB"/>
    <w:rsid w:val="00273658"/>
    <w:rsid w:val="002751D6"/>
    <w:rsid w:val="00275872"/>
    <w:rsid w:val="0028147B"/>
    <w:rsid w:val="0028348D"/>
    <w:rsid w:val="00283CD2"/>
    <w:rsid w:val="002866E9"/>
    <w:rsid w:val="0029059E"/>
    <w:rsid w:val="002A307F"/>
    <w:rsid w:val="002B6AFC"/>
    <w:rsid w:val="002C337C"/>
    <w:rsid w:val="002C3F3E"/>
    <w:rsid w:val="002D00BB"/>
    <w:rsid w:val="002D71FC"/>
    <w:rsid w:val="002F01DF"/>
    <w:rsid w:val="002F3563"/>
    <w:rsid w:val="002F46E7"/>
    <w:rsid w:val="002F4995"/>
    <w:rsid w:val="00303458"/>
    <w:rsid w:val="00314882"/>
    <w:rsid w:val="00315F03"/>
    <w:rsid w:val="003160CA"/>
    <w:rsid w:val="00323419"/>
    <w:rsid w:val="003255EF"/>
    <w:rsid w:val="003341B3"/>
    <w:rsid w:val="003524E3"/>
    <w:rsid w:val="003532C1"/>
    <w:rsid w:val="0035362A"/>
    <w:rsid w:val="00355F53"/>
    <w:rsid w:val="00360920"/>
    <w:rsid w:val="00364866"/>
    <w:rsid w:val="00381E74"/>
    <w:rsid w:val="003A16D8"/>
    <w:rsid w:val="003A4F41"/>
    <w:rsid w:val="003B0464"/>
    <w:rsid w:val="003B2F96"/>
    <w:rsid w:val="003B6BC3"/>
    <w:rsid w:val="003C3627"/>
    <w:rsid w:val="003E6555"/>
    <w:rsid w:val="003F3655"/>
    <w:rsid w:val="003F550B"/>
    <w:rsid w:val="003F5D60"/>
    <w:rsid w:val="003F7B52"/>
    <w:rsid w:val="00401D5B"/>
    <w:rsid w:val="00404053"/>
    <w:rsid w:val="00405330"/>
    <w:rsid w:val="0041385E"/>
    <w:rsid w:val="004179C8"/>
    <w:rsid w:val="0042092E"/>
    <w:rsid w:val="00422121"/>
    <w:rsid w:val="00422E2C"/>
    <w:rsid w:val="00432FF8"/>
    <w:rsid w:val="00437239"/>
    <w:rsid w:val="004429E2"/>
    <w:rsid w:val="00446907"/>
    <w:rsid w:val="004541BB"/>
    <w:rsid w:val="0046059F"/>
    <w:rsid w:val="004639BA"/>
    <w:rsid w:val="0047020B"/>
    <w:rsid w:val="00475FAA"/>
    <w:rsid w:val="0047681C"/>
    <w:rsid w:val="004770EC"/>
    <w:rsid w:val="0047722B"/>
    <w:rsid w:val="00484896"/>
    <w:rsid w:val="004871B1"/>
    <w:rsid w:val="00487FE7"/>
    <w:rsid w:val="0049675A"/>
    <w:rsid w:val="004A35BE"/>
    <w:rsid w:val="004A6DCF"/>
    <w:rsid w:val="004B1EF2"/>
    <w:rsid w:val="004B448F"/>
    <w:rsid w:val="004B77BC"/>
    <w:rsid w:val="004B7BB7"/>
    <w:rsid w:val="004C2836"/>
    <w:rsid w:val="004C4741"/>
    <w:rsid w:val="004D1A57"/>
    <w:rsid w:val="004D5C03"/>
    <w:rsid w:val="004E47AF"/>
    <w:rsid w:val="004E6275"/>
    <w:rsid w:val="004F0D05"/>
    <w:rsid w:val="005067D8"/>
    <w:rsid w:val="00507DF1"/>
    <w:rsid w:val="0051034C"/>
    <w:rsid w:val="00510A1A"/>
    <w:rsid w:val="00513596"/>
    <w:rsid w:val="005233CE"/>
    <w:rsid w:val="00524EB2"/>
    <w:rsid w:val="00525997"/>
    <w:rsid w:val="00530E1A"/>
    <w:rsid w:val="005347AB"/>
    <w:rsid w:val="005352E1"/>
    <w:rsid w:val="00536B49"/>
    <w:rsid w:val="005443FF"/>
    <w:rsid w:val="00555AA1"/>
    <w:rsid w:val="00557088"/>
    <w:rsid w:val="00557EB2"/>
    <w:rsid w:val="00581638"/>
    <w:rsid w:val="005854E9"/>
    <w:rsid w:val="00595447"/>
    <w:rsid w:val="00595DE6"/>
    <w:rsid w:val="005A226F"/>
    <w:rsid w:val="005A2F67"/>
    <w:rsid w:val="005A7D5A"/>
    <w:rsid w:val="005B0430"/>
    <w:rsid w:val="005D2A0F"/>
    <w:rsid w:val="005E0728"/>
    <w:rsid w:val="005E15C8"/>
    <w:rsid w:val="005E2549"/>
    <w:rsid w:val="005E7182"/>
    <w:rsid w:val="005F5A35"/>
    <w:rsid w:val="005F7E1F"/>
    <w:rsid w:val="00600D66"/>
    <w:rsid w:val="00601B65"/>
    <w:rsid w:val="00615327"/>
    <w:rsid w:val="00636F14"/>
    <w:rsid w:val="00641186"/>
    <w:rsid w:val="00643873"/>
    <w:rsid w:val="00644D2D"/>
    <w:rsid w:val="00646A01"/>
    <w:rsid w:val="006479FC"/>
    <w:rsid w:val="00650F36"/>
    <w:rsid w:val="00651A4C"/>
    <w:rsid w:val="006553DC"/>
    <w:rsid w:val="00657595"/>
    <w:rsid w:val="0066316C"/>
    <w:rsid w:val="00665A41"/>
    <w:rsid w:val="00675139"/>
    <w:rsid w:val="00681A48"/>
    <w:rsid w:val="00684448"/>
    <w:rsid w:val="00685E38"/>
    <w:rsid w:val="0068624E"/>
    <w:rsid w:val="006B7562"/>
    <w:rsid w:val="006C0E98"/>
    <w:rsid w:val="006D7CF2"/>
    <w:rsid w:val="006E331F"/>
    <w:rsid w:val="006E5775"/>
    <w:rsid w:val="006E5C92"/>
    <w:rsid w:val="006F0001"/>
    <w:rsid w:val="006F567B"/>
    <w:rsid w:val="006F7026"/>
    <w:rsid w:val="00700A8B"/>
    <w:rsid w:val="00705DF0"/>
    <w:rsid w:val="00717E65"/>
    <w:rsid w:val="00727CD0"/>
    <w:rsid w:val="00735979"/>
    <w:rsid w:val="00743A3D"/>
    <w:rsid w:val="00747091"/>
    <w:rsid w:val="00747785"/>
    <w:rsid w:val="00747987"/>
    <w:rsid w:val="0075547F"/>
    <w:rsid w:val="007620CE"/>
    <w:rsid w:val="00765E1F"/>
    <w:rsid w:val="007673B8"/>
    <w:rsid w:val="007679C8"/>
    <w:rsid w:val="00777EE3"/>
    <w:rsid w:val="00785237"/>
    <w:rsid w:val="00790B88"/>
    <w:rsid w:val="00790C82"/>
    <w:rsid w:val="00792A6C"/>
    <w:rsid w:val="007966C9"/>
    <w:rsid w:val="007A5B7C"/>
    <w:rsid w:val="007A7E4B"/>
    <w:rsid w:val="007B00F1"/>
    <w:rsid w:val="007B5F75"/>
    <w:rsid w:val="007B69C3"/>
    <w:rsid w:val="007C3CA2"/>
    <w:rsid w:val="007C4C91"/>
    <w:rsid w:val="007D23CE"/>
    <w:rsid w:val="007D68D9"/>
    <w:rsid w:val="007E1840"/>
    <w:rsid w:val="007F3637"/>
    <w:rsid w:val="007F4B04"/>
    <w:rsid w:val="0081098D"/>
    <w:rsid w:val="008130B4"/>
    <w:rsid w:val="0081759E"/>
    <w:rsid w:val="00827A76"/>
    <w:rsid w:val="00843651"/>
    <w:rsid w:val="008518A9"/>
    <w:rsid w:val="00851959"/>
    <w:rsid w:val="00854E40"/>
    <w:rsid w:val="00867077"/>
    <w:rsid w:val="00885FFE"/>
    <w:rsid w:val="0088602B"/>
    <w:rsid w:val="00891752"/>
    <w:rsid w:val="008951D3"/>
    <w:rsid w:val="00895B26"/>
    <w:rsid w:val="008A7A3D"/>
    <w:rsid w:val="008B2351"/>
    <w:rsid w:val="008B79F7"/>
    <w:rsid w:val="008C7E0F"/>
    <w:rsid w:val="008D479B"/>
    <w:rsid w:val="008E08B3"/>
    <w:rsid w:val="00925C73"/>
    <w:rsid w:val="00927E2E"/>
    <w:rsid w:val="00931C4F"/>
    <w:rsid w:val="00940179"/>
    <w:rsid w:val="0094469F"/>
    <w:rsid w:val="00951BD6"/>
    <w:rsid w:val="00956850"/>
    <w:rsid w:val="00973DA0"/>
    <w:rsid w:val="00980D2A"/>
    <w:rsid w:val="00981543"/>
    <w:rsid w:val="00991521"/>
    <w:rsid w:val="0099452D"/>
    <w:rsid w:val="00995D8C"/>
    <w:rsid w:val="00996459"/>
    <w:rsid w:val="00996891"/>
    <w:rsid w:val="009976AA"/>
    <w:rsid w:val="009A1EC2"/>
    <w:rsid w:val="009A263E"/>
    <w:rsid w:val="009A4E83"/>
    <w:rsid w:val="009A4F0C"/>
    <w:rsid w:val="009B1B94"/>
    <w:rsid w:val="009C22C4"/>
    <w:rsid w:val="009C6CC5"/>
    <w:rsid w:val="009D0E58"/>
    <w:rsid w:val="009D420D"/>
    <w:rsid w:val="009D51A3"/>
    <w:rsid w:val="009E7312"/>
    <w:rsid w:val="009F15B0"/>
    <w:rsid w:val="00A010C8"/>
    <w:rsid w:val="00A02797"/>
    <w:rsid w:val="00A11C19"/>
    <w:rsid w:val="00A20DD9"/>
    <w:rsid w:val="00A3340A"/>
    <w:rsid w:val="00A36E33"/>
    <w:rsid w:val="00A3769C"/>
    <w:rsid w:val="00A449BF"/>
    <w:rsid w:val="00A5437E"/>
    <w:rsid w:val="00A5613B"/>
    <w:rsid w:val="00A56D81"/>
    <w:rsid w:val="00A756D4"/>
    <w:rsid w:val="00A75E72"/>
    <w:rsid w:val="00A815DA"/>
    <w:rsid w:val="00A900EB"/>
    <w:rsid w:val="00AB1523"/>
    <w:rsid w:val="00AB7F95"/>
    <w:rsid w:val="00AC1E4E"/>
    <w:rsid w:val="00AD0AD9"/>
    <w:rsid w:val="00AD1319"/>
    <w:rsid w:val="00AE63FD"/>
    <w:rsid w:val="00AF25BA"/>
    <w:rsid w:val="00B056EC"/>
    <w:rsid w:val="00B17404"/>
    <w:rsid w:val="00B2457F"/>
    <w:rsid w:val="00B26756"/>
    <w:rsid w:val="00B355E0"/>
    <w:rsid w:val="00B36258"/>
    <w:rsid w:val="00B46DCB"/>
    <w:rsid w:val="00B50A56"/>
    <w:rsid w:val="00B561C7"/>
    <w:rsid w:val="00B616D2"/>
    <w:rsid w:val="00B767ED"/>
    <w:rsid w:val="00B86817"/>
    <w:rsid w:val="00B92783"/>
    <w:rsid w:val="00B95B85"/>
    <w:rsid w:val="00B9659A"/>
    <w:rsid w:val="00BA7090"/>
    <w:rsid w:val="00BD1E44"/>
    <w:rsid w:val="00BD5A4D"/>
    <w:rsid w:val="00BE2756"/>
    <w:rsid w:val="00BE7B5C"/>
    <w:rsid w:val="00C0152D"/>
    <w:rsid w:val="00C03C5B"/>
    <w:rsid w:val="00C05943"/>
    <w:rsid w:val="00C16DF9"/>
    <w:rsid w:val="00C21747"/>
    <w:rsid w:val="00C21F21"/>
    <w:rsid w:val="00C25F08"/>
    <w:rsid w:val="00C266AC"/>
    <w:rsid w:val="00C347FD"/>
    <w:rsid w:val="00C34A35"/>
    <w:rsid w:val="00C4439F"/>
    <w:rsid w:val="00C474C8"/>
    <w:rsid w:val="00C5236D"/>
    <w:rsid w:val="00C5642A"/>
    <w:rsid w:val="00C60EFC"/>
    <w:rsid w:val="00C673EF"/>
    <w:rsid w:val="00C856BD"/>
    <w:rsid w:val="00C949AE"/>
    <w:rsid w:val="00C96DF3"/>
    <w:rsid w:val="00CA0598"/>
    <w:rsid w:val="00CA0DB5"/>
    <w:rsid w:val="00CA2B77"/>
    <w:rsid w:val="00CC3726"/>
    <w:rsid w:val="00CC4F86"/>
    <w:rsid w:val="00CC7FF2"/>
    <w:rsid w:val="00CD629E"/>
    <w:rsid w:val="00CE1161"/>
    <w:rsid w:val="00CE67A6"/>
    <w:rsid w:val="00CE67F9"/>
    <w:rsid w:val="00CF2EA0"/>
    <w:rsid w:val="00CF5CBE"/>
    <w:rsid w:val="00CF7CD1"/>
    <w:rsid w:val="00D07187"/>
    <w:rsid w:val="00D1007D"/>
    <w:rsid w:val="00D14D4E"/>
    <w:rsid w:val="00D356C9"/>
    <w:rsid w:val="00D36A3B"/>
    <w:rsid w:val="00D37B20"/>
    <w:rsid w:val="00D40748"/>
    <w:rsid w:val="00D41DE7"/>
    <w:rsid w:val="00D43202"/>
    <w:rsid w:val="00D43DB8"/>
    <w:rsid w:val="00D55D7A"/>
    <w:rsid w:val="00D62C2F"/>
    <w:rsid w:val="00D76B39"/>
    <w:rsid w:val="00D80DE2"/>
    <w:rsid w:val="00D95E03"/>
    <w:rsid w:val="00D97D7B"/>
    <w:rsid w:val="00DA08DE"/>
    <w:rsid w:val="00DA5327"/>
    <w:rsid w:val="00DB2975"/>
    <w:rsid w:val="00DB511C"/>
    <w:rsid w:val="00DD55C8"/>
    <w:rsid w:val="00DD5640"/>
    <w:rsid w:val="00E00641"/>
    <w:rsid w:val="00E06C4B"/>
    <w:rsid w:val="00E15B0C"/>
    <w:rsid w:val="00E2105A"/>
    <w:rsid w:val="00E2485B"/>
    <w:rsid w:val="00E33BBF"/>
    <w:rsid w:val="00E439F0"/>
    <w:rsid w:val="00E45322"/>
    <w:rsid w:val="00E47453"/>
    <w:rsid w:val="00E5072B"/>
    <w:rsid w:val="00E50F42"/>
    <w:rsid w:val="00E52E85"/>
    <w:rsid w:val="00E64AF9"/>
    <w:rsid w:val="00E6548C"/>
    <w:rsid w:val="00E67F51"/>
    <w:rsid w:val="00E866F4"/>
    <w:rsid w:val="00E9029C"/>
    <w:rsid w:val="00E919E6"/>
    <w:rsid w:val="00E94DDE"/>
    <w:rsid w:val="00E97958"/>
    <w:rsid w:val="00EA02FF"/>
    <w:rsid w:val="00EA4223"/>
    <w:rsid w:val="00EA4251"/>
    <w:rsid w:val="00EB01F1"/>
    <w:rsid w:val="00EB35AD"/>
    <w:rsid w:val="00EB5DF6"/>
    <w:rsid w:val="00EC0C00"/>
    <w:rsid w:val="00EC1867"/>
    <w:rsid w:val="00EC2879"/>
    <w:rsid w:val="00EC2E5C"/>
    <w:rsid w:val="00EC3E0F"/>
    <w:rsid w:val="00EC492D"/>
    <w:rsid w:val="00EC5929"/>
    <w:rsid w:val="00ED0518"/>
    <w:rsid w:val="00ED2F6A"/>
    <w:rsid w:val="00F0104E"/>
    <w:rsid w:val="00F068F6"/>
    <w:rsid w:val="00F14328"/>
    <w:rsid w:val="00F20BE8"/>
    <w:rsid w:val="00F263C9"/>
    <w:rsid w:val="00F64223"/>
    <w:rsid w:val="00F64574"/>
    <w:rsid w:val="00F67D8F"/>
    <w:rsid w:val="00F703AB"/>
    <w:rsid w:val="00F70DB4"/>
    <w:rsid w:val="00F70E31"/>
    <w:rsid w:val="00F74E98"/>
    <w:rsid w:val="00F771C9"/>
    <w:rsid w:val="00F82BEC"/>
    <w:rsid w:val="00FA10F8"/>
    <w:rsid w:val="00FA194D"/>
    <w:rsid w:val="00FA5A9F"/>
    <w:rsid w:val="00FA63DC"/>
    <w:rsid w:val="00FB5825"/>
    <w:rsid w:val="00FC192C"/>
    <w:rsid w:val="00FE130F"/>
    <w:rsid w:val="00FF611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FD637"/>
  <w15:chartTrackingRefBased/>
  <w15:docId w15:val="{9C24392E-101A-472A-902C-02A31240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5EF"/>
    <w:pPr>
      <w:keepNext/>
      <w:keepLines/>
      <w:spacing w:before="240" w:after="0"/>
      <w:outlineLvl w:val="0"/>
    </w:pPr>
    <w:rPr>
      <w:rFonts w:asciiTheme="majorBidi" w:eastAsiaTheme="majorEastAsia" w:hAnsiTheme="majorBid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743A3D"/>
    <w:pPr>
      <w:keepNext/>
      <w:keepLines/>
      <w:spacing w:before="40" w:after="0"/>
      <w:outlineLvl w:val="1"/>
    </w:pPr>
    <w:rPr>
      <w:rFonts w:asciiTheme="majorBidi" w:eastAsiaTheme="majorEastAsia" w:hAnsiTheme="majorBidi" w:cstheme="majorBidi"/>
      <w:color w:val="2E74B5"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726"/>
  </w:style>
  <w:style w:type="paragraph" w:styleId="Footer">
    <w:name w:val="footer"/>
    <w:basedOn w:val="Normal"/>
    <w:link w:val="FooterChar"/>
    <w:uiPriority w:val="99"/>
    <w:unhideWhenUsed/>
    <w:rsid w:val="00CC3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726"/>
  </w:style>
  <w:style w:type="paragraph" w:styleId="ListParagraph">
    <w:name w:val="List Paragraph"/>
    <w:basedOn w:val="Normal"/>
    <w:uiPriority w:val="34"/>
    <w:qFormat/>
    <w:rsid w:val="003255EF"/>
    <w:pPr>
      <w:ind w:left="720"/>
      <w:contextualSpacing/>
    </w:pPr>
    <w:rPr>
      <w14:ligatures w14:val="standardContextual"/>
    </w:rPr>
  </w:style>
  <w:style w:type="character" w:customStyle="1" w:styleId="Heading1Char">
    <w:name w:val="Heading 1 Char"/>
    <w:basedOn w:val="DefaultParagraphFont"/>
    <w:link w:val="Heading1"/>
    <w:uiPriority w:val="9"/>
    <w:rsid w:val="003255EF"/>
    <w:rPr>
      <w:rFonts w:asciiTheme="majorBidi" w:eastAsiaTheme="majorEastAsia" w:hAnsiTheme="majorBidi" w:cstheme="majorBidi"/>
      <w:b/>
      <w:color w:val="2E74B5" w:themeColor="accent1" w:themeShade="BF"/>
      <w:sz w:val="32"/>
      <w:szCs w:val="32"/>
    </w:rPr>
  </w:style>
  <w:style w:type="character" w:customStyle="1" w:styleId="Heading2Char">
    <w:name w:val="Heading 2 Char"/>
    <w:basedOn w:val="DefaultParagraphFont"/>
    <w:link w:val="Heading2"/>
    <w:uiPriority w:val="9"/>
    <w:rsid w:val="00743A3D"/>
    <w:rPr>
      <w:rFonts w:asciiTheme="majorBidi" w:eastAsiaTheme="majorEastAsia" w:hAnsiTheme="majorBidi" w:cstheme="majorBidi"/>
      <w:color w:val="2E74B5" w:themeColor="accent1" w:themeShade="BF"/>
      <w:sz w:val="24"/>
      <w:szCs w:val="26"/>
    </w:rPr>
  </w:style>
  <w:style w:type="table" w:styleId="TableGrid">
    <w:name w:val="Table Grid"/>
    <w:basedOn w:val="TableNormal"/>
    <w:uiPriority w:val="39"/>
    <w:rsid w:val="00796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114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0F6E45"/>
    <w:rPr>
      <w:color w:val="0563C1" w:themeColor="hyperlink"/>
      <w:u w:val="single"/>
    </w:rPr>
  </w:style>
  <w:style w:type="character" w:styleId="UnresolvedMention">
    <w:name w:val="Unresolved Mention"/>
    <w:basedOn w:val="DefaultParagraphFont"/>
    <w:uiPriority w:val="99"/>
    <w:semiHidden/>
    <w:unhideWhenUsed/>
    <w:rsid w:val="000F6E45"/>
    <w:rPr>
      <w:color w:val="605E5C"/>
      <w:shd w:val="clear" w:color="auto" w:fill="E1DFDD"/>
    </w:rPr>
  </w:style>
  <w:style w:type="paragraph" w:styleId="TOCHeading">
    <w:name w:val="TOC Heading"/>
    <w:basedOn w:val="Heading1"/>
    <w:next w:val="Normal"/>
    <w:uiPriority w:val="39"/>
    <w:unhideWhenUsed/>
    <w:qFormat/>
    <w:rsid w:val="000C4033"/>
    <w:pPr>
      <w:outlineLvl w:val="9"/>
    </w:pPr>
    <w:rPr>
      <w:rFonts w:asciiTheme="majorHAnsi" w:hAnsiTheme="majorHAnsi"/>
      <w:b w:val="0"/>
      <w:lang w:eastAsia="lt-LT"/>
    </w:rPr>
  </w:style>
  <w:style w:type="paragraph" w:styleId="TOC1">
    <w:name w:val="toc 1"/>
    <w:basedOn w:val="Normal"/>
    <w:next w:val="Normal"/>
    <w:autoRedefine/>
    <w:uiPriority w:val="39"/>
    <w:unhideWhenUsed/>
    <w:rsid w:val="00C21F21"/>
    <w:pPr>
      <w:tabs>
        <w:tab w:val="left" w:pos="480"/>
        <w:tab w:val="right" w:leader="dot" w:pos="9016"/>
      </w:tabs>
      <w:spacing w:after="100"/>
    </w:pPr>
    <w:rPr>
      <w:rFonts w:asciiTheme="majorBidi" w:hAnsiTheme="majorBidi" w:cstheme="majorBidi"/>
      <w:noProof/>
      <w:color w:val="000000" w:themeColor="text1"/>
      <w:sz w:val="24"/>
      <w:szCs w:val="24"/>
    </w:rPr>
  </w:style>
  <w:style w:type="paragraph" w:styleId="TOC2">
    <w:name w:val="toc 2"/>
    <w:basedOn w:val="Normal"/>
    <w:next w:val="Normal"/>
    <w:autoRedefine/>
    <w:uiPriority w:val="39"/>
    <w:unhideWhenUsed/>
    <w:rsid w:val="00727CD0"/>
    <w:pPr>
      <w:tabs>
        <w:tab w:val="left" w:pos="720"/>
        <w:tab w:val="right" w:leader="dot" w:pos="9016"/>
      </w:tabs>
      <w:spacing w:after="100"/>
      <w:ind w:left="220"/>
    </w:pPr>
    <w:rPr>
      <w:rFonts w:asciiTheme="majorBidi" w:hAnsiTheme="majorBidi" w:cstheme="majorBidi"/>
      <w:noProof/>
      <w:color w:val="000000" w:themeColor="text1"/>
      <w:sz w:val="24"/>
      <w:szCs w:val="24"/>
    </w:rPr>
  </w:style>
  <w:style w:type="character" w:styleId="CommentReference">
    <w:name w:val="annotation reference"/>
    <w:basedOn w:val="DefaultParagraphFont"/>
    <w:uiPriority w:val="99"/>
    <w:semiHidden/>
    <w:unhideWhenUsed/>
    <w:rsid w:val="00DB2975"/>
    <w:rPr>
      <w:sz w:val="16"/>
      <w:szCs w:val="16"/>
    </w:rPr>
  </w:style>
  <w:style w:type="paragraph" w:styleId="CommentText">
    <w:name w:val="annotation text"/>
    <w:basedOn w:val="Normal"/>
    <w:link w:val="CommentTextChar"/>
    <w:uiPriority w:val="99"/>
    <w:unhideWhenUsed/>
    <w:rsid w:val="00DB2975"/>
    <w:pPr>
      <w:spacing w:line="240" w:lineRule="auto"/>
    </w:pPr>
    <w:rPr>
      <w:sz w:val="20"/>
      <w:szCs w:val="20"/>
    </w:rPr>
  </w:style>
  <w:style w:type="character" w:customStyle="1" w:styleId="CommentTextChar">
    <w:name w:val="Comment Text Char"/>
    <w:basedOn w:val="DefaultParagraphFont"/>
    <w:link w:val="CommentText"/>
    <w:uiPriority w:val="99"/>
    <w:rsid w:val="00DB2975"/>
    <w:rPr>
      <w:sz w:val="20"/>
      <w:szCs w:val="20"/>
    </w:rPr>
  </w:style>
  <w:style w:type="paragraph" w:styleId="CommentSubject">
    <w:name w:val="annotation subject"/>
    <w:basedOn w:val="CommentText"/>
    <w:next w:val="CommentText"/>
    <w:link w:val="CommentSubjectChar"/>
    <w:uiPriority w:val="99"/>
    <w:semiHidden/>
    <w:unhideWhenUsed/>
    <w:rsid w:val="00DB2975"/>
    <w:rPr>
      <w:b/>
      <w:bCs/>
    </w:rPr>
  </w:style>
  <w:style w:type="character" w:customStyle="1" w:styleId="CommentSubjectChar">
    <w:name w:val="Comment Subject Char"/>
    <w:basedOn w:val="CommentTextChar"/>
    <w:link w:val="CommentSubject"/>
    <w:uiPriority w:val="99"/>
    <w:semiHidden/>
    <w:rsid w:val="00DB2975"/>
    <w:rPr>
      <w:b/>
      <w:bCs/>
      <w:sz w:val="20"/>
      <w:szCs w:val="20"/>
    </w:rPr>
  </w:style>
  <w:style w:type="paragraph" w:styleId="Revision">
    <w:name w:val="Revision"/>
    <w:hidden/>
    <w:uiPriority w:val="99"/>
    <w:semiHidden/>
    <w:rsid w:val="005E15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lex.lt/ta/20799"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at.lt/teismu-praktika/lat-praktika/kasmenesines-lat-praktikos-apzvalgos-nuo-2015-m./6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910E9-C6ED-4AC1-B3F4-C688231D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9</Pages>
  <Words>3243</Words>
  <Characters>21211</Characters>
  <Application>Microsoft Office Word</Application>
  <DocSecurity>0</DocSecurity>
  <Lines>451</Lines>
  <Paragraphs>147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Murnikas</dc:creator>
  <cp:lastModifiedBy>Agnė Bedulskienė | AVNT</cp:lastModifiedBy>
  <cp:revision>266</cp:revision>
  <cp:lastPrinted>2026-10-09T07:50:00Z</cp:lastPrinted>
  <dcterms:created xsi:type="dcterms:W3CDTF">2026-04-21T10:20:00Z</dcterms:created>
  <dcterms:modified xsi:type="dcterms:W3CDTF">2026-10-15T06:24:00Z</dcterms:modified>
</cp:coreProperties>
</file>